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18F" w:rsidRPr="00F9418F" w:rsidRDefault="00F9418F">
      <w:pPr>
        <w:rPr>
          <w:color w:val="FF0000"/>
        </w:rPr>
      </w:pPr>
      <w:r w:rsidRPr="00F9418F">
        <w:rPr>
          <w:color w:val="FF0000"/>
        </w:rPr>
        <w:t xml:space="preserve">This </w:t>
      </w:r>
      <w:r w:rsidR="00174EA1">
        <w:rPr>
          <w:color w:val="FF0000"/>
        </w:rPr>
        <w:t>task</w:t>
      </w:r>
      <w:r w:rsidRPr="00F9418F">
        <w:rPr>
          <w:color w:val="FF0000"/>
        </w:rPr>
        <w:t xml:space="preserve"> plan is draft and is subject to review / amendment at ARM8</w:t>
      </w:r>
    </w:p>
    <w:tbl>
      <w:tblPr>
        <w:tblStyle w:val="TableGrid"/>
        <w:tblW w:w="14734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4"/>
        <w:gridCol w:w="4680"/>
        <w:gridCol w:w="3804"/>
        <w:gridCol w:w="416"/>
        <w:gridCol w:w="244"/>
        <w:gridCol w:w="284"/>
        <w:gridCol w:w="283"/>
        <w:gridCol w:w="284"/>
        <w:gridCol w:w="284"/>
        <w:gridCol w:w="284"/>
        <w:gridCol w:w="283"/>
        <w:gridCol w:w="994"/>
      </w:tblGrid>
      <w:tr w:rsidR="00163917" w:rsidRPr="00A63246" w:rsidTr="000A3B0D">
        <w:trPr>
          <w:trHeight w:val="413"/>
          <w:tblHeader/>
        </w:trPr>
        <w:tc>
          <w:tcPr>
            <w:tcW w:w="14734" w:type="dxa"/>
            <w:gridSpan w:val="12"/>
            <w:shd w:val="clear" w:color="auto" w:fill="0070C0"/>
            <w:vAlign w:val="center"/>
          </w:tcPr>
          <w:p w:rsidR="00163917" w:rsidRPr="00B71F21" w:rsidRDefault="0013024F" w:rsidP="00174EA1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ARM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Committee – </w:t>
            </w:r>
            <w:r w:rsidR="00174EA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 xml:space="preserve"> Plan 201</w:t>
            </w: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8</w:t>
            </w:r>
            <w:r w:rsidR="00163917"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-20</w:t>
            </w: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22</w:t>
            </w:r>
          </w:p>
        </w:tc>
      </w:tr>
      <w:tr w:rsidR="00163917" w:rsidRPr="00A63246" w:rsidTr="004A009D">
        <w:trPr>
          <w:tblHeader/>
        </w:trPr>
        <w:tc>
          <w:tcPr>
            <w:tcW w:w="2894" w:type="dxa"/>
            <w:vMerge w:val="restart"/>
            <w:shd w:val="clear" w:color="auto" w:fill="0070C0"/>
            <w:vAlign w:val="center"/>
          </w:tcPr>
          <w:p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63246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Strategy Technical Domain</w:t>
            </w:r>
          </w:p>
        </w:tc>
        <w:tc>
          <w:tcPr>
            <w:tcW w:w="4680" w:type="dxa"/>
            <w:vMerge w:val="restart"/>
            <w:shd w:val="clear" w:color="auto" w:fill="0070C0"/>
            <w:vAlign w:val="center"/>
          </w:tcPr>
          <w:p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3804" w:type="dxa"/>
            <w:vMerge w:val="restart"/>
            <w:shd w:val="clear" w:color="auto" w:fill="0070C0"/>
            <w:vAlign w:val="center"/>
          </w:tcPr>
          <w:p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Expected Output</w:t>
            </w:r>
          </w:p>
          <w:p w:rsidR="004848DE" w:rsidRPr="00B71F21" w:rsidRDefault="004848DE" w:rsidP="004848DE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</w:pPr>
            <w:r w:rsidRPr="00D31FF7">
              <w:rPr>
                <w:rFonts w:ascii="Calibri" w:hAnsi="Calibri"/>
                <w:b/>
                <w:color w:val="FFFFFF" w:themeColor="background1"/>
                <w:sz w:val="16"/>
                <w:szCs w:val="16"/>
              </w:rPr>
              <w:t>(Key: + planned work, x planned but no work carried out, &gt; task extended, * task completed)</w:t>
            </w:r>
          </w:p>
        </w:tc>
        <w:tc>
          <w:tcPr>
            <w:tcW w:w="416" w:type="dxa"/>
            <w:vMerge w:val="restart"/>
            <w:shd w:val="clear" w:color="auto" w:fill="0070C0"/>
            <w:vAlign w:val="center"/>
          </w:tcPr>
          <w:p w:rsidR="00163917" w:rsidRPr="00B71F21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WG</w:t>
            </w:r>
          </w:p>
        </w:tc>
        <w:tc>
          <w:tcPr>
            <w:tcW w:w="1946" w:type="dxa"/>
            <w:gridSpan w:val="7"/>
            <w:tcBorders>
              <w:bottom w:val="single" w:sz="4" w:space="0" w:color="auto"/>
            </w:tcBorders>
            <w:shd w:val="clear" w:color="auto" w:fill="0070C0"/>
            <w:vAlign w:val="center"/>
          </w:tcPr>
          <w:p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Session</w:t>
            </w:r>
          </w:p>
        </w:tc>
        <w:tc>
          <w:tcPr>
            <w:tcW w:w="994" w:type="dxa"/>
            <w:vMerge w:val="restart"/>
            <w:shd w:val="clear" w:color="auto" w:fill="0070C0"/>
            <w:vAlign w:val="center"/>
          </w:tcPr>
          <w:p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A63246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</w:tr>
      <w:tr w:rsidR="00163917" w:rsidRPr="00A63246" w:rsidTr="000B5084">
        <w:trPr>
          <w:trHeight w:val="80"/>
          <w:tblHeader/>
        </w:trPr>
        <w:tc>
          <w:tcPr>
            <w:tcW w:w="2894" w:type="dxa"/>
            <w:vMerge/>
            <w:tcBorders>
              <w:bottom w:val="double" w:sz="4" w:space="0" w:color="auto"/>
            </w:tcBorders>
          </w:tcPr>
          <w:p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double" w:sz="4" w:space="0" w:color="auto"/>
            </w:tcBorders>
          </w:tcPr>
          <w:p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Merge/>
            <w:tcBorders>
              <w:bottom w:val="double" w:sz="4" w:space="0" w:color="auto"/>
            </w:tcBorders>
          </w:tcPr>
          <w:p w:rsidR="00163917" w:rsidRPr="00B71F21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B71F21" w:rsidRDefault="00163917" w:rsidP="006154C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8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B71F21" w:rsidRDefault="0013024F" w:rsidP="000667D0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</w:pPr>
            <w:r w:rsidRPr="00B71F21">
              <w:rPr>
                <w:rFonts w:ascii="Calibri" w:eastAsiaTheme="minorEastAsia" w:hAnsi="Calibri"/>
                <w:b/>
                <w:color w:val="FFFFFF" w:themeColor="background1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284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bottom w:val="double" w:sz="4" w:space="0" w:color="auto"/>
            </w:tcBorders>
            <w:shd w:val="clear" w:color="auto" w:fill="0070C0"/>
            <w:vAlign w:val="center"/>
          </w:tcPr>
          <w:p w:rsidR="00163917" w:rsidRPr="00B71F21" w:rsidRDefault="0013024F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14</w:t>
            </w:r>
          </w:p>
        </w:tc>
        <w:tc>
          <w:tcPr>
            <w:tcW w:w="994" w:type="dxa"/>
            <w:vMerge/>
            <w:tcBorders>
              <w:bottom w:val="double" w:sz="4" w:space="0" w:color="auto"/>
            </w:tcBorders>
          </w:tcPr>
          <w:p w:rsidR="00163917" w:rsidRPr="00A63246" w:rsidRDefault="00163917" w:rsidP="0054630B">
            <w:pPr>
              <w:pStyle w:val="Agenda1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</w:p>
        </w:tc>
      </w:tr>
      <w:tr w:rsidR="00181617" w:rsidRPr="00A63246" w:rsidTr="000A3B0D"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B71F21" w:rsidRDefault="00865340" w:rsidP="00D079A0">
            <w:pPr>
              <w:pStyle w:val="Agenda1"/>
              <w:ind w:left="0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1010</w:t>
            </w:r>
            <w:r w:rsidR="00181617" w:rsidRPr="00B71F21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13024F" w:rsidRPr="00B71F21">
              <w:rPr>
                <w:rFonts w:ascii="Calibri" w:hAnsi="Calibri"/>
                <w:b/>
                <w:sz w:val="18"/>
                <w:szCs w:val="18"/>
              </w:rPr>
              <w:t>AtoN planning and service requirements</w:t>
            </w:r>
          </w:p>
        </w:tc>
      </w:tr>
      <w:tr w:rsidR="00EE1F2D" w:rsidRPr="00A63246" w:rsidTr="000B5084">
        <w:trPr>
          <w:trHeight w:val="593"/>
        </w:trPr>
        <w:tc>
          <w:tcPr>
            <w:tcW w:w="2894" w:type="dxa"/>
            <w:vMerge w:val="restart"/>
            <w:vAlign w:val="center"/>
          </w:tcPr>
          <w:p w:rsidR="00EE1F2D" w:rsidRPr="00A63246" w:rsidRDefault="00EE1F2D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Obligations and regulatory compliance</w:t>
            </w:r>
            <w:r w:rsidR="00C03E1D" w:rsidRPr="00A63246">
              <w:rPr>
                <w:rFonts w:ascii="Calibri" w:hAnsi="Calibri" w:cs="Arial"/>
                <w:sz w:val="18"/>
                <w:szCs w:val="18"/>
              </w:rPr>
              <w:t xml:space="preserve"> (RXXX)</w:t>
            </w:r>
          </w:p>
        </w:tc>
        <w:tc>
          <w:tcPr>
            <w:tcW w:w="4680" w:type="dxa"/>
            <w:vAlign w:val="center"/>
          </w:tcPr>
          <w:p w:rsidR="00EE1F2D" w:rsidRPr="00B71F21" w:rsidRDefault="00EE1F2D" w:rsidP="00EE1F2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guidance on regulatory/legal framework for Aton Authorities</w:t>
            </w:r>
          </w:p>
        </w:tc>
        <w:tc>
          <w:tcPr>
            <w:tcW w:w="3804" w:type="dxa"/>
            <w:vAlign w:val="center"/>
          </w:tcPr>
          <w:p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Recommendation and new Guideline</w:t>
            </w:r>
          </w:p>
          <w:p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Guideline(s) describing purpose, management, legislation needs, regulation needs, perhaps with examples of legislation and regulation clauses to assist understanding.</w:t>
            </w:r>
          </w:p>
        </w:tc>
        <w:tc>
          <w:tcPr>
            <w:tcW w:w="416" w:type="dxa"/>
            <w:vAlign w:val="center"/>
          </w:tcPr>
          <w:p w:rsidR="00EE1F2D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EE1F2D" w:rsidRPr="00A63246" w:rsidRDefault="00EE1F2D" w:rsidP="000A3B0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1F2D" w:rsidRPr="00A63246" w:rsidTr="000B5084">
        <w:trPr>
          <w:trHeight w:val="593"/>
        </w:trPr>
        <w:tc>
          <w:tcPr>
            <w:tcW w:w="2894" w:type="dxa"/>
            <w:vMerge/>
            <w:vAlign w:val="center"/>
          </w:tcPr>
          <w:p w:rsidR="00EE1F2D" w:rsidRPr="00A63246" w:rsidRDefault="00EE1F2D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EE1F2D" w:rsidRPr="00B71F21" w:rsidRDefault="00EE1F2D" w:rsidP="00EE1F2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 G1054 Preparing for a Voluntary IMO Audit on Aids to Navigation Service Delivery (Nov 2006)</w:t>
            </w:r>
          </w:p>
        </w:tc>
        <w:tc>
          <w:tcPr>
            <w:tcW w:w="3804" w:type="dxa"/>
            <w:vAlign w:val="center"/>
          </w:tcPr>
          <w:p w:rsidR="00EE1F2D" w:rsidRPr="00B71F21" w:rsidRDefault="00EE1F2D" w:rsidP="00EE1F2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Guideline to reflect change of IMO audit status</w:t>
            </w:r>
          </w:p>
        </w:tc>
        <w:tc>
          <w:tcPr>
            <w:tcW w:w="416" w:type="dxa"/>
            <w:vAlign w:val="center"/>
          </w:tcPr>
          <w:p w:rsidR="00EE1F2D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E1F2D" w:rsidRPr="00B71F21" w:rsidRDefault="00EE1F2D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EE1F2D" w:rsidRPr="00A63246" w:rsidRDefault="00EE1F2D" w:rsidP="000A3B0D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F44E2" w:rsidRPr="00A63246" w:rsidTr="000B5084">
        <w:tc>
          <w:tcPr>
            <w:tcW w:w="2894" w:type="dxa"/>
            <w:vMerge w:val="restart"/>
            <w:vAlign w:val="center"/>
          </w:tcPr>
          <w:p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Risk management (R1002)</w:t>
            </w:r>
          </w:p>
        </w:tc>
        <w:tc>
          <w:tcPr>
            <w:tcW w:w="4680" w:type="dxa"/>
            <w:vAlign w:val="center"/>
          </w:tcPr>
          <w:p w:rsidR="00BF44E2" w:rsidRPr="00B71F21" w:rsidRDefault="00BF44E2" w:rsidP="00C03E1D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Review G1018 Risk Management to ensure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compatability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with risk toolbox. Ensure compatibility with risk toolbox</w:t>
            </w:r>
          </w:p>
        </w:tc>
        <w:tc>
          <w:tcPr>
            <w:tcW w:w="3804" w:type="dxa"/>
            <w:vAlign w:val="center"/>
          </w:tcPr>
          <w:p w:rsidR="00BF44E2" w:rsidRPr="00B71F21" w:rsidRDefault="00BF44E2" w:rsidP="00C03E1D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Revised Guideline </w:t>
            </w:r>
          </w:p>
        </w:tc>
        <w:tc>
          <w:tcPr>
            <w:tcW w:w="416" w:type="dxa"/>
            <w:vAlign w:val="center"/>
          </w:tcPr>
          <w:p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BF44E2" w:rsidRPr="00A63246" w:rsidTr="004A009D">
        <w:tc>
          <w:tcPr>
            <w:tcW w:w="2894" w:type="dxa"/>
            <w:vMerge/>
            <w:vAlign w:val="center"/>
          </w:tcPr>
          <w:p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F44E2" w:rsidRPr="00B71F21" w:rsidRDefault="00BF44E2" w:rsidP="00BF44E2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Review R0142 Maritime Data Sharing IALA Net to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reflect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new title “Maritime data sharing”</w:t>
            </w:r>
            <w:r w:rsidR="007D6E6B" w:rsidRPr="00B71F21">
              <w:rPr>
                <w:rFonts w:ascii="Calibri" w:hAnsi="Calibri" w:cs="Arial"/>
                <w:sz w:val="18"/>
                <w:szCs w:val="18"/>
              </w:rPr>
              <w:t xml:space="preserve"> and the storage and use of historical [AIS and other] data for risk analysis</w:t>
            </w:r>
          </w:p>
          <w:p w:rsidR="00BF44E2" w:rsidRPr="00B71F21" w:rsidRDefault="00BF44E2" w:rsidP="002D279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Consider need and drivers for data sharing</w:t>
            </w:r>
            <w:r w:rsidR="007D6E6B" w:rsidRPr="00B71F21">
              <w:rPr>
                <w:rFonts w:ascii="Calibri" w:hAnsi="Calibri"/>
                <w:sz w:val="18"/>
                <w:szCs w:val="18"/>
              </w:rPr>
              <w:t>, capture and analysis</w:t>
            </w:r>
            <w:r w:rsidRPr="00B71F21">
              <w:rPr>
                <w:rFonts w:ascii="Calibri" w:hAnsi="Calibri"/>
                <w:sz w:val="18"/>
                <w:szCs w:val="18"/>
              </w:rPr>
              <w:t>.</w:t>
            </w:r>
          </w:p>
          <w:p w:rsidR="007D6E6B" w:rsidRPr="00B71F21" w:rsidRDefault="007D6E6B" w:rsidP="002D279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Identify possible tools for data capture and analysis.</w:t>
            </w:r>
          </w:p>
          <w:p w:rsidR="00BF44E2" w:rsidRPr="00B71F21" w:rsidRDefault="007D6E6B" w:rsidP="002D279A">
            <w:pPr>
              <w:pStyle w:val="Agenda2"/>
              <w:numPr>
                <w:ilvl w:val="0"/>
                <w:numId w:val="0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Monitor development of framework and identified tools for data capture and analysis with IALA Secretariat. </w:t>
            </w:r>
          </w:p>
        </w:tc>
        <w:tc>
          <w:tcPr>
            <w:tcW w:w="3804" w:type="dxa"/>
            <w:vAlign w:val="center"/>
          </w:tcPr>
          <w:p w:rsidR="007D6E6B" w:rsidRPr="00B71F21" w:rsidRDefault="007D6E6B" w:rsidP="00BF44E2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Revised Recommendation </w:t>
            </w:r>
          </w:p>
          <w:p w:rsidR="007D6E6B" w:rsidRPr="00B71F21" w:rsidRDefault="00C958EF" w:rsidP="00BF44E2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New Guideline incorporating a </w:t>
            </w:r>
            <w:r w:rsidR="007D6E6B" w:rsidRPr="00B71F21">
              <w:rPr>
                <w:rFonts w:ascii="Calibri" w:hAnsi="Calibri" w:cs="Arial"/>
                <w:sz w:val="18"/>
                <w:szCs w:val="18"/>
              </w:rPr>
              <w:t>Conceptual framework for data sharing, capture and analysis</w:t>
            </w:r>
          </w:p>
          <w:p w:rsidR="007D6E6B" w:rsidRPr="00B71F21" w:rsidRDefault="007D6E6B" w:rsidP="00BF44E2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Tools for data sharing, capture and analysis</w:t>
            </w:r>
          </w:p>
          <w:p w:rsidR="00BF44E2" w:rsidRPr="00B71F21" w:rsidRDefault="00BF44E2" w:rsidP="00BF44E2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BF44E2" w:rsidRPr="00A63246" w:rsidRDefault="00FA6188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63246">
              <w:rPr>
                <w:rFonts w:ascii="Calibri" w:hAnsi="Calibri" w:cs="Arial"/>
                <w:sz w:val="18"/>
                <w:szCs w:val="18"/>
                <w:lang w:eastAsia="ja-JP"/>
              </w:rPr>
              <w:t>ENG and ARM in cooperation</w:t>
            </w:r>
          </w:p>
        </w:tc>
      </w:tr>
      <w:tr w:rsidR="00BF44E2" w:rsidRPr="00A63246" w:rsidTr="004A009D">
        <w:tc>
          <w:tcPr>
            <w:tcW w:w="2894" w:type="dxa"/>
            <w:vMerge/>
            <w:vAlign w:val="center"/>
          </w:tcPr>
          <w:p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F44E2" w:rsidRPr="00B71F21" w:rsidRDefault="002D279A" w:rsidP="002D279A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Review G1086 Global Sharing of Maritime Data (June 2012) in collaboration with task 1.2.2 (R0142 review)</w:t>
            </w:r>
          </w:p>
        </w:tc>
        <w:tc>
          <w:tcPr>
            <w:tcW w:w="3804" w:type="dxa"/>
            <w:vAlign w:val="center"/>
          </w:tcPr>
          <w:p w:rsidR="00BF44E2" w:rsidRPr="00B71F21" w:rsidRDefault="002D279A" w:rsidP="00766BE5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Guideline</w:t>
            </w:r>
          </w:p>
        </w:tc>
        <w:tc>
          <w:tcPr>
            <w:tcW w:w="416" w:type="dxa"/>
            <w:vAlign w:val="center"/>
          </w:tcPr>
          <w:p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BF44E2" w:rsidRPr="00A63246" w:rsidTr="004A009D">
        <w:tc>
          <w:tcPr>
            <w:tcW w:w="2894" w:type="dxa"/>
            <w:vMerge/>
            <w:vAlign w:val="center"/>
          </w:tcPr>
          <w:p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F44E2" w:rsidRPr="00B71F21" w:rsidRDefault="00BF44E2" w:rsidP="001F6500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In cooperation with ENG </w:t>
            </w:r>
            <w:r w:rsidR="001F6500">
              <w:rPr>
                <w:rFonts w:ascii="Calibri" w:hAnsi="Calibri" w:cs="Arial"/>
                <w:sz w:val="18"/>
                <w:szCs w:val="18"/>
              </w:rPr>
              <w:t>(task 1.2.1) r</w:t>
            </w:r>
            <w:r w:rsidRPr="00B71F21">
              <w:rPr>
                <w:rFonts w:ascii="Calibri" w:hAnsi="Calibri" w:cs="Arial"/>
                <w:sz w:val="18"/>
                <w:szCs w:val="18"/>
              </w:rPr>
              <w:t>evise R0138 and G1058</w:t>
            </w:r>
            <w:r w:rsidR="00D3080B" w:rsidRPr="00B71F21">
              <w:rPr>
                <w:rFonts w:ascii="Calibri" w:hAnsi="Calibri" w:cs="Arial"/>
                <w:sz w:val="18"/>
                <w:szCs w:val="18"/>
              </w:rPr>
              <w:t xml:space="preserve"> and G1097</w:t>
            </w:r>
            <w:r w:rsidR="00842463">
              <w:rPr>
                <w:rFonts w:ascii="Calibri" w:hAnsi="Calibri" w:cs="Arial"/>
                <w:sz w:val="18"/>
                <w:szCs w:val="18"/>
              </w:rPr>
              <w:t xml:space="preserve"> on simulation use by AtoN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authorities</w:t>
            </w:r>
          </w:p>
        </w:tc>
        <w:tc>
          <w:tcPr>
            <w:tcW w:w="3804" w:type="dxa"/>
            <w:vAlign w:val="center"/>
          </w:tcPr>
          <w:p w:rsidR="00BF44E2" w:rsidRPr="00B71F21" w:rsidRDefault="00FA6188" w:rsidP="00FA6188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 Recommendation and Guideline to incorporate Korean input from ENG on AtoN simulator</w:t>
            </w:r>
          </w:p>
        </w:tc>
        <w:tc>
          <w:tcPr>
            <w:tcW w:w="416" w:type="dxa"/>
            <w:vAlign w:val="center"/>
          </w:tcPr>
          <w:p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BF44E2" w:rsidRPr="00A63246" w:rsidRDefault="00FA6188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A63246">
              <w:rPr>
                <w:rFonts w:ascii="Calibri" w:hAnsi="Calibri" w:cs="Arial"/>
                <w:sz w:val="18"/>
                <w:szCs w:val="18"/>
                <w:lang w:eastAsia="ja-JP"/>
              </w:rPr>
              <w:t>ENG and ARM in cooperation</w:t>
            </w:r>
          </w:p>
        </w:tc>
      </w:tr>
      <w:tr w:rsidR="00BF44E2" w:rsidRPr="00A63246" w:rsidTr="004A009D">
        <w:tc>
          <w:tcPr>
            <w:tcW w:w="2894" w:type="dxa"/>
            <w:vMerge/>
            <w:vAlign w:val="center"/>
          </w:tcPr>
          <w:p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F44E2" w:rsidRPr="00B71F21" w:rsidRDefault="00BF44E2" w:rsidP="00766BE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Develop 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>Recommendation for</w:t>
            </w:r>
            <w:r w:rsidRPr="00B71F21">
              <w:rPr>
                <w:rFonts w:ascii="Calibri" w:hAnsi="Calibri" w:cs="Arial"/>
                <w:sz w:val="18"/>
                <w:szCs w:val="18"/>
              </w:rPr>
              <w:t xml:space="preserve"> marine data sharing for risk assessment analysis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 xml:space="preserve"> or incorporate with R0142 task 1.2.2</w:t>
            </w:r>
          </w:p>
        </w:tc>
        <w:tc>
          <w:tcPr>
            <w:tcW w:w="3804" w:type="dxa"/>
            <w:vAlign w:val="center"/>
          </w:tcPr>
          <w:p w:rsidR="00BF44E2" w:rsidRPr="00B71F21" w:rsidRDefault="00766BE5" w:rsidP="00766BE5">
            <w:pPr>
              <w:pStyle w:val="Agenda2"/>
              <w:numPr>
                <w:ilvl w:val="0"/>
                <w:numId w:val="0"/>
              </w:num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Recommendation or extension of R0142</w:t>
            </w:r>
          </w:p>
        </w:tc>
        <w:tc>
          <w:tcPr>
            <w:tcW w:w="416" w:type="dxa"/>
            <w:vAlign w:val="center"/>
          </w:tcPr>
          <w:p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BF44E2" w:rsidRPr="00A63246" w:rsidTr="004A009D">
        <w:tc>
          <w:tcPr>
            <w:tcW w:w="2894" w:type="dxa"/>
            <w:vMerge/>
            <w:vAlign w:val="center"/>
          </w:tcPr>
          <w:p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F44E2" w:rsidRPr="00B71F21" w:rsidRDefault="00BF44E2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 xml:space="preserve">Develop guidance on </w:t>
            </w:r>
            <w:r w:rsidRPr="00B71F21">
              <w:rPr>
                <w:rFonts w:ascii="Calibri" w:hAnsi="Calibri" w:cs="Arial"/>
                <w:noProof/>
                <w:sz w:val="18"/>
                <w:szCs w:val="18"/>
              </w:rPr>
              <w:t>cyber security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 xml:space="preserve"> for AtoN </w:t>
            </w:r>
            <w:r w:rsidRPr="00B71F21">
              <w:rPr>
                <w:rFonts w:ascii="Calibri" w:hAnsi="Calibri" w:cs="Arial"/>
                <w:sz w:val="18"/>
                <w:szCs w:val="18"/>
              </w:rPr>
              <w:t>authorities</w:t>
            </w:r>
            <w:r w:rsidR="00766BE5" w:rsidRPr="00B71F21">
              <w:rPr>
                <w:rFonts w:ascii="Calibri" w:hAnsi="Calibri" w:cs="Arial"/>
                <w:sz w:val="18"/>
                <w:szCs w:val="18"/>
              </w:rPr>
              <w:t xml:space="preserve"> in collaboration with all other Committees</w:t>
            </w:r>
          </w:p>
        </w:tc>
        <w:tc>
          <w:tcPr>
            <w:tcW w:w="3804" w:type="dxa"/>
            <w:vAlign w:val="center"/>
          </w:tcPr>
          <w:p w:rsidR="00BF44E2" w:rsidRPr="00B71F21" w:rsidRDefault="00766BE5" w:rsidP="00766BE5">
            <w:p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New Recommendation and Guideline</w:t>
            </w:r>
          </w:p>
        </w:tc>
        <w:tc>
          <w:tcPr>
            <w:tcW w:w="416" w:type="dxa"/>
            <w:vAlign w:val="center"/>
          </w:tcPr>
          <w:p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BF44E2" w:rsidRPr="00A63246" w:rsidTr="004A009D">
        <w:tc>
          <w:tcPr>
            <w:tcW w:w="2894" w:type="dxa"/>
            <w:vMerge/>
            <w:vAlign w:val="center"/>
          </w:tcPr>
          <w:p w:rsidR="00BF44E2" w:rsidRPr="00A63246" w:rsidRDefault="00BF44E2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BF44E2" w:rsidRPr="00B71F21" w:rsidRDefault="00BF44E2" w:rsidP="00BF44E2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document to promulgate IALA risk management tool box to IMO (SN circular)</w:t>
            </w:r>
          </w:p>
        </w:tc>
        <w:tc>
          <w:tcPr>
            <w:tcW w:w="3804" w:type="dxa"/>
            <w:vAlign w:val="center"/>
          </w:tcPr>
          <w:p w:rsidR="00BF44E2" w:rsidRPr="00B71F21" w:rsidRDefault="00BF44E2" w:rsidP="00766BE5">
            <w:pPr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Liaison note to IMO setting out  content of proposed/ revised IMO SN circular</w:t>
            </w:r>
          </w:p>
        </w:tc>
        <w:tc>
          <w:tcPr>
            <w:tcW w:w="416" w:type="dxa"/>
            <w:vAlign w:val="center"/>
          </w:tcPr>
          <w:p w:rsidR="00BF44E2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F44E2" w:rsidRPr="00B71F21" w:rsidRDefault="00BF44E2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BF44E2" w:rsidRPr="00A63246" w:rsidRDefault="00BF44E2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0B5084" w:rsidRPr="00A63246" w:rsidTr="00F62898">
        <w:trPr>
          <w:trHeight w:val="465"/>
        </w:trPr>
        <w:tc>
          <w:tcPr>
            <w:tcW w:w="2894" w:type="dxa"/>
            <w:vAlign w:val="center"/>
          </w:tcPr>
          <w:p w:rsidR="000B5084" w:rsidRPr="00A63246" w:rsidRDefault="000B5084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Levels of service objectives</w:t>
            </w:r>
            <w:r w:rsidR="00C03E1D" w:rsidRPr="00A63246">
              <w:rPr>
                <w:rFonts w:ascii="Calibri" w:hAnsi="Calibri" w:cs="Arial"/>
                <w:sz w:val="18"/>
                <w:szCs w:val="18"/>
              </w:rPr>
              <w:t xml:space="preserve"> (R0130)</w:t>
            </w:r>
          </w:p>
        </w:tc>
        <w:tc>
          <w:tcPr>
            <w:tcW w:w="4680" w:type="dxa"/>
            <w:vAlign w:val="center"/>
          </w:tcPr>
          <w:p w:rsidR="000B5084" w:rsidRPr="00B71F21" w:rsidRDefault="000B5084" w:rsidP="00CD1B8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vAlign w:val="center"/>
          </w:tcPr>
          <w:p w:rsidR="000B5084" w:rsidRPr="00B71F21" w:rsidRDefault="000B5084" w:rsidP="00CD1B85">
            <w:pPr>
              <w:pStyle w:val="Agenda2"/>
              <w:numPr>
                <w:ilvl w:val="0"/>
                <w:numId w:val="0"/>
              </w:numPr>
              <w:ind w:left="142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0B5084" w:rsidRPr="00B71F21" w:rsidRDefault="000B5084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4" w:type="dxa"/>
            <w:vAlign w:val="center"/>
          </w:tcPr>
          <w:p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B5084" w:rsidRPr="00B71F21" w:rsidRDefault="000B5084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0B5084" w:rsidRPr="00A63246" w:rsidRDefault="000B5084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095E25" w:rsidRPr="00A63246" w:rsidTr="00F62898">
        <w:trPr>
          <w:trHeight w:val="543"/>
        </w:trPr>
        <w:tc>
          <w:tcPr>
            <w:tcW w:w="2894" w:type="dxa"/>
            <w:vAlign w:val="center"/>
          </w:tcPr>
          <w:p w:rsidR="00095E25" w:rsidRPr="00A63246" w:rsidRDefault="0013024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Quality management</w:t>
            </w:r>
          </w:p>
        </w:tc>
        <w:tc>
          <w:tcPr>
            <w:tcW w:w="4680" w:type="dxa"/>
            <w:vAlign w:val="center"/>
          </w:tcPr>
          <w:p w:rsidR="00095E25" w:rsidRPr="00B71F21" w:rsidRDefault="00164689" w:rsidP="00164689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Revised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Guideline G1052 Quality Management in [Marine] Aids to Navigation Service Delivery (Dec 2013), removing ISO copied text.</w:t>
            </w:r>
          </w:p>
        </w:tc>
        <w:tc>
          <w:tcPr>
            <w:tcW w:w="3804" w:type="dxa"/>
            <w:vAlign w:val="center"/>
          </w:tcPr>
          <w:p w:rsidR="00095E25" w:rsidRPr="00B71F21" w:rsidRDefault="00164689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Revised Guideline </w:t>
            </w:r>
          </w:p>
        </w:tc>
        <w:tc>
          <w:tcPr>
            <w:tcW w:w="416" w:type="dxa"/>
            <w:vAlign w:val="center"/>
          </w:tcPr>
          <w:p w:rsidR="00095E25" w:rsidRPr="00B71F21" w:rsidRDefault="008A4D38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095E25" w:rsidRPr="00B71F21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B71F21" w:rsidRDefault="00095E25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95E25" w:rsidRPr="00B71F21" w:rsidRDefault="00095E25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5C778D" w:rsidRPr="00A63246" w:rsidRDefault="005C778D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36AB7" w:rsidRPr="00A63246" w:rsidTr="00313F26">
        <w:tc>
          <w:tcPr>
            <w:tcW w:w="2894" w:type="dxa"/>
            <w:vMerge w:val="restart"/>
            <w:vAlign w:val="center"/>
          </w:tcPr>
          <w:p w:rsidR="00236AB7" w:rsidRPr="00A63246" w:rsidRDefault="00236AB7" w:rsidP="00313F26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AtoN planning</w:t>
            </w:r>
          </w:p>
        </w:tc>
        <w:tc>
          <w:tcPr>
            <w:tcW w:w="4680" w:type="dxa"/>
            <w:vAlign w:val="center"/>
          </w:tcPr>
          <w:p w:rsidR="00236AB7" w:rsidRPr="00B71F21" w:rsidRDefault="00236AB7" w:rsidP="00313F2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Reformat and review the IALA MBS incorporating MAtoN </w:t>
            </w:r>
          </w:p>
        </w:tc>
        <w:tc>
          <w:tcPr>
            <w:tcW w:w="3804" w:type="dxa"/>
            <w:vAlign w:val="center"/>
          </w:tcPr>
          <w:p w:rsidR="00236AB7" w:rsidRPr="00B71F21" w:rsidRDefault="00236AB7" w:rsidP="00313F26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MBS Recommendation and possible new Guideline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 including mobile </w:t>
            </w: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AtoN, bearing in mind R1016</w:t>
            </w:r>
          </w:p>
        </w:tc>
        <w:tc>
          <w:tcPr>
            <w:tcW w:w="416" w:type="dxa"/>
            <w:vAlign w:val="center"/>
          </w:tcPr>
          <w:p w:rsidR="00236AB7" w:rsidRPr="00B71F21" w:rsidRDefault="00236AB7" w:rsidP="00313F2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236AB7" w:rsidRPr="00B71F21" w:rsidRDefault="00236AB7" w:rsidP="00313F26">
            <w:pPr>
              <w:jc w:val="center"/>
            </w:pPr>
            <w:r w:rsidRPr="00B71F21"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:rsidR="00236AB7" w:rsidRPr="00B71F21" w:rsidRDefault="00236AB7" w:rsidP="00313F26">
            <w:pPr>
              <w:jc w:val="center"/>
            </w:pPr>
            <w:r w:rsidRPr="00B71F21">
              <w:t>+</w:t>
            </w:r>
          </w:p>
        </w:tc>
        <w:tc>
          <w:tcPr>
            <w:tcW w:w="283" w:type="dxa"/>
            <w:vAlign w:val="center"/>
          </w:tcPr>
          <w:p w:rsidR="00236AB7" w:rsidRPr="00B71F21" w:rsidRDefault="00236AB7" w:rsidP="00313F26">
            <w:pPr>
              <w:jc w:val="center"/>
            </w:pPr>
            <w:r w:rsidRPr="00B71F21">
              <w:t>+</w:t>
            </w:r>
          </w:p>
        </w:tc>
        <w:tc>
          <w:tcPr>
            <w:tcW w:w="284" w:type="dxa"/>
            <w:vAlign w:val="center"/>
          </w:tcPr>
          <w:p w:rsidR="00236AB7" w:rsidRPr="00B71F21" w:rsidRDefault="00236AB7" w:rsidP="00313F26">
            <w:pPr>
              <w:jc w:val="center"/>
            </w:pPr>
            <w:r w:rsidRPr="00B71F21">
              <w:t>+</w:t>
            </w:r>
          </w:p>
        </w:tc>
        <w:tc>
          <w:tcPr>
            <w:tcW w:w="284" w:type="dxa"/>
            <w:vAlign w:val="center"/>
          </w:tcPr>
          <w:p w:rsidR="00236AB7" w:rsidRPr="00B71F21" w:rsidRDefault="00236AB7" w:rsidP="004848DE">
            <w:pPr>
              <w:jc w:val="center"/>
            </w:pPr>
            <w:r w:rsidRPr="00B71F21"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284" w:type="dxa"/>
            <w:vAlign w:val="center"/>
          </w:tcPr>
          <w:p w:rsidR="00236AB7" w:rsidRPr="00B71F21" w:rsidRDefault="00236AB7" w:rsidP="00313F26">
            <w:pPr>
              <w:jc w:val="center"/>
            </w:pPr>
            <w:r w:rsidRPr="00B71F21">
              <w:t>+</w:t>
            </w:r>
          </w:p>
        </w:tc>
        <w:tc>
          <w:tcPr>
            <w:tcW w:w="283" w:type="dxa"/>
            <w:vAlign w:val="center"/>
          </w:tcPr>
          <w:p w:rsidR="00236AB7" w:rsidRPr="00B71F21" w:rsidRDefault="00236AB7" w:rsidP="004848DE">
            <w:pPr>
              <w:jc w:val="center"/>
            </w:pPr>
            <w:r w:rsidRPr="00B71F21">
              <w:rPr>
                <w:rFonts w:ascii="Calibri" w:hAnsi="Calibri" w:cs="Arial"/>
                <w:sz w:val="18"/>
                <w:szCs w:val="18"/>
              </w:rPr>
              <w:t>+</w:t>
            </w:r>
          </w:p>
        </w:tc>
        <w:tc>
          <w:tcPr>
            <w:tcW w:w="994" w:type="dxa"/>
            <w:vAlign w:val="center"/>
          </w:tcPr>
          <w:p w:rsidR="00236AB7" w:rsidRPr="00A63246" w:rsidRDefault="00236AB7" w:rsidP="00313F26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36AB7" w:rsidRPr="00A63246" w:rsidTr="00313F26">
        <w:tc>
          <w:tcPr>
            <w:tcW w:w="2894" w:type="dxa"/>
            <w:vMerge/>
            <w:vAlign w:val="center"/>
          </w:tcPr>
          <w:p w:rsidR="00236AB7" w:rsidRPr="00A63246" w:rsidRDefault="00236AB7" w:rsidP="00313F26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36AB7" w:rsidRPr="00B71F21" w:rsidRDefault="00236AB7" w:rsidP="00A0418C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Assist ENAV with development of radio aspects of MAtoN and AMRD with IEC and ITU</w:t>
            </w:r>
          </w:p>
        </w:tc>
        <w:tc>
          <w:tcPr>
            <w:tcW w:w="3804" w:type="dxa"/>
            <w:vAlign w:val="center"/>
          </w:tcPr>
          <w:p w:rsidR="00236AB7" w:rsidRPr="00B71F21" w:rsidRDefault="00236AB7" w:rsidP="003E6D14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Advice to ENAV for liaison notes to ITU and IEC and contribution to </w:t>
            </w:r>
            <w:r w:rsidRPr="003E6D14">
              <w:rPr>
                <w:rFonts w:ascii="Calibri" w:hAnsi="Calibri" w:cs="Arial"/>
                <w:color w:val="000000" w:themeColor="text1"/>
                <w:sz w:val="18"/>
                <w:szCs w:val="18"/>
                <w:lang w:eastAsia="ja-JP"/>
              </w:rPr>
              <w:t>ENAV New Guideline on AMRD</w:t>
            </w:r>
          </w:p>
        </w:tc>
        <w:tc>
          <w:tcPr>
            <w:tcW w:w="416" w:type="dxa"/>
            <w:vAlign w:val="center"/>
          </w:tcPr>
          <w:p w:rsidR="00236AB7" w:rsidRPr="00B71F21" w:rsidRDefault="00236AB7" w:rsidP="00313F26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236AB7" w:rsidRPr="00B71F21" w:rsidRDefault="00236AB7" w:rsidP="00313F2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313F26">
            <w:pPr>
              <w:jc w:val="center"/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313F26">
            <w:pPr>
              <w:jc w:val="center"/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313F26">
            <w:pPr>
              <w:jc w:val="center"/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4848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313F26">
            <w:pPr>
              <w:jc w:val="center"/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4848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236AB7" w:rsidRPr="00A63246" w:rsidRDefault="00236AB7" w:rsidP="00313F26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36AB7" w:rsidRPr="00A63246" w:rsidTr="004A009D">
        <w:tc>
          <w:tcPr>
            <w:tcW w:w="2894" w:type="dxa"/>
            <w:vMerge/>
            <w:vAlign w:val="center"/>
          </w:tcPr>
          <w:p w:rsidR="00236AB7" w:rsidRPr="00A63246" w:rsidRDefault="00236AB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36AB7" w:rsidRPr="00B71F21" w:rsidRDefault="00236AB7" w:rsidP="00174EA1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Undertake gap analysis of IALA guidance associated with the MBS, including 1078 The Use of AtoN in the Design of Fairways (June 2011), identify further work to add to the </w:t>
            </w:r>
            <w:r w:rsidR="00174EA1">
              <w:rPr>
                <w:rFonts w:ascii="Calibri" w:hAnsi="Calibri"/>
                <w:sz w:val="18"/>
                <w:szCs w:val="18"/>
              </w:rPr>
              <w:t>task</w:t>
            </w:r>
            <w:r w:rsidRPr="00B71F21">
              <w:rPr>
                <w:rFonts w:ascii="Calibri" w:hAnsi="Calibri"/>
                <w:sz w:val="18"/>
                <w:szCs w:val="18"/>
              </w:rPr>
              <w:t xml:space="preserve"> plan at ARM8 </w:t>
            </w:r>
          </w:p>
        </w:tc>
        <w:tc>
          <w:tcPr>
            <w:tcW w:w="3804" w:type="dxa"/>
            <w:vAlign w:val="center"/>
          </w:tcPr>
          <w:p w:rsidR="00236AB7" w:rsidRPr="00B71F21" w:rsidRDefault="00236AB7" w:rsidP="00313F26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Guidelines (TBA)</w:t>
            </w:r>
          </w:p>
        </w:tc>
        <w:tc>
          <w:tcPr>
            <w:tcW w:w="416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313F26">
            <w:pPr>
              <w:pStyle w:val="Agenda2"/>
              <w:numPr>
                <w:ilvl w:val="0"/>
                <w:numId w:val="0"/>
              </w:numPr>
              <w:ind w:left="567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236AB7" w:rsidRPr="00A63246" w:rsidRDefault="00236AB7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36AB7" w:rsidRPr="00A63246" w:rsidTr="004A009D">
        <w:tc>
          <w:tcPr>
            <w:tcW w:w="2894" w:type="dxa"/>
            <w:vMerge/>
            <w:vAlign w:val="center"/>
          </w:tcPr>
          <w:p w:rsidR="00236AB7" w:rsidRPr="00A63246" w:rsidRDefault="00236AB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36AB7" w:rsidRPr="00B71F21" w:rsidRDefault="00236AB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Develop guidance for navigators on the use of AtoN</w:t>
            </w:r>
          </w:p>
        </w:tc>
        <w:tc>
          <w:tcPr>
            <w:tcW w:w="3804" w:type="dxa"/>
            <w:vAlign w:val="center"/>
          </w:tcPr>
          <w:p w:rsidR="00236AB7" w:rsidRPr="00B71F21" w:rsidRDefault="00236AB7" w:rsidP="00766BE5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 xml:space="preserve">New </w:t>
            </w:r>
            <w:r w:rsidRPr="00B71F21">
              <w:rPr>
                <w:rFonts w:ascii="Calibri" w:hAnsi="Calibri" w:cs="Arial"/>
                <w:sz w:val="18"/>
                <w:szCs w:val="18"/>
              </w:rPr>
              <w:t>Guideline</w:t>
            </w:r>
          </w:p>
        </w:tc>
        <w:tc>
          <w:tcPr>
            <w:tcW w:w="416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236AB7" w:rsidRPr="00A63246" w:rsidRDefault="00236AB7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36AB7" w:rsidRPr="00A63246" w:rsidTr="004A009D">
        <w:tc>
          <w:tcPr>
            <w:tcW w:w="2894" w:type="dxa"/>
            <w:vMerge/>
            <w:vAlign w:val="center"/>
          </w:tcPr>
          <w:p w:rsidR="00236AB7" w:rsidRPr="00A63246" w:rsidRDefault="00236AB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36AB7" w:rsidRPr="00B71F21" w:rsidRDefault="00236AB7" w:rsidP="00313F2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Review G1096 Anticipated User e-Navigation Requirements from Berth to Berth, for AtoN Authorities (May 2013) </w:t>
            </w:r>
            <w:r w:rsidRPr="00167454">
              <w:rPr>
                <w:rFonts w:ascii="Calibri" w:hAnsi="Calibri"/>
                <w:color w:val="FF0000"/>
                <w:sz w:val="18"/>
                <w:szCs w:val="18"/>
              </w:rPr>
              <w:t>– may be deleted</w:t>
            </w:r>
          </w:p>
        </w:tc>
        <w:tc>
          <w:tcPr>
            <w:tcW w:w="3804" w:type="dxa"/>
            <w:vAlign w:val="center"/>
          </w:tcPr>
          <w:p w:rsidR="00236AB7" w:rsidRPr="00B71F21" w:rsidRDefault="00236AB7" w:rsidP="00313F26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or deleted Guideline</w:t>
            </w:r>
          </w:p>
        </w:tc>
        <w:tc>
          <w:tcPr>
            <w:tcW w:w="416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236AB7" w:rsidRPr="00A63246" w:rsidRDefault="00236AB7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36AB7" w:rsidRPr="00A63246" w:rsidTr="004A009D">
        <w:tc>
          <w:tcPr>
            <w:tcW w:w="2894" w:type="dxa"/>
            <w:vMerge/>
            <w:vAlign w:val="center"/>
          </w:tcPr>
          <w:p w:rsidR="00236AB7" w:rsidRPr="00A63246" w:rsidRDefault="00236AB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36AB7" w:rsidRPr="00B71F21" w:rsidRDefault="00236AB7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Develop guidance on AtoN provision in polar regions</w:t>
            </w:r>
          </w:p>
        </w:tc>
        <w:tc>
          <w:tcPr>
            <w:tcW w:w="3804" w:type="dxa"/>
            <w:vAlign w:val="center"/>
          </w:tcPr>
          <w:p w:rsidR="00236AB7" w:rsidRPr="00B71F21" w:rsidRDefault="00236AB7" w:rsidP="00766BE5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 and possible Recommendation</w:t>
            </w:r>
          </w:p>
        </w:tc>
        <w:tc>
          <w:tcPr>
            <w:tcW w:w="416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236AB7" w:rsidRPr="00A63246" w:rsidRDefault="00236AB7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36AB7" w:rsidRPr="00A63246" w:rsidTr="004A009D">
        <w:tc>
          <w:tcPr>
            <w:tcW w:w="2894" w:type="dxa"/>
            <w:vMerge/>
            <w:vAlign w:val="center"/>
          </w:tcPr>
          <w:p w:rsidR="00236AB7" w:rsidRPr="00A63246" w:rsidRDefault="00236AB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36AB7" w:rsidRPr="00B71F21" w:rsidRDefault="00236AB7" w:rsidP="0084246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 w:rsidRPr="00842463">
              <w:rPr>
                <w:rFonts w:ascii="Calibri" w:hAnsi="Calibri" w:cs="Arial"/>
                <w:sz w:val="18"/>
                <w:szCs w:val="18"/>
              </w:rPr>
              <w:t>Develop guidance on the provision of AtoN for autonomous vehicle/vessel operations</w:t>
            </w:r>
          </w:p>
        </w:tc>
        <w:tc>
          <w:tcPr>
            <w:tcW w:w="3804" w:type="dxa"/>
            <w:vAlign w:val="center"/>
          </w:tcPr>
          <w:p w:rsidR="00236AB7" w:rsidRPr="00B71F21" w:rsidRDefault="00236AB7" w:rsidP="00766BE5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New Guideline and possible Recommendation</w:t>
            </w:r>
          </w:p>
        </w:tc>
        <w:tc>
          <w:tcPr>
            <w:tcW w:w="416" w:type="dxa"/>
            <w:vAlign w:val="center"/>
          </w:tcPr>
          <w:p w:rsidR="00236AB7" w:rsidRPr="00B71F21" w:rsidRDefault="00167454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236AB7" w:rsidRPr="00A63246" w:rsidRDefault="00236AB7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36AB7" w:rsidRPr="00A63246" w:rsidTr="004A009D">
        <w:tc>
          <w:tcPr>
            <w:tcW w:w="2894" w:type="dxa"/>
            <w:vMerge/>
            <w:vAlign w:val="center"/>
          </w:tcPr>
          <w:p w:rsidR="00236AB7" w:rsidRPr="00A63246" w:rsidRDefault="00236AB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36AB7" w:rsidRPr="00B71F21" w:rsidRDefault="00236AB7" w:rsidP="005D71DE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842463">
              <w:rPr>
                <w:rFonts w:ascii="Calibri" w:hAnsi="Calibri" w:cs="Arial"/>
                <w:sz w:val="18"/>
                <w:szCs w:val="18"/>
              </w:rPr>
              <w:t>Review</w:t>
            </w:r>
            <w:r>
              <w:rPr>
                <w:rFonts w:ascii="Calibri" w:hAnsi="Calibri"/>
                <w:sz w:val="18"/>
                <w:szCs w:val="18"/>
              </w:rPr>
              <w:t xml:space="preserve"> and update </w:t>
            </w:r>
            <w:r w:rsidRPr="00842463">
              <w:rPr>
                <w:rFonts w:ascii="Calibri" w:hAnsi="Calibri"/>
                <w:sz w:val="18"/>
                <w:szCs w:val="18"/>
              </w:rPr>
              <w:t>Recommendation R-0139 on the Marking of Man-Made Offshore Structures</w:t>
            </w:r>
            <w:r>
              <w:rPr>
                <w:rFonts w:ascii="Calibri" w:hAnsi="Calibri"/>
                <w:sz w:val="18"/>
                <w:szCs w:val="18"/>
              </w:rPr>
              <w:t xml:space="preserve"> to reflect trends in the proliferation of wind farms</w:t>
            </w:r>
          </w:p>
        </w:tc>
        <w:tc>
          <w:tcPr>
            <w:tcW w:w="3804" w:type="dxa"/>
            <w:vAlign w:val="center"/>
          </w:tcPr>
          <w:p w:rsidR="00236AB7" w:rsidRPr="00B71F21" w:rsidRDefault="00236AB7" w:rsidP="001B63B3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Revised Recommendation and possible new Guideline</w:t>
            </w:r>
          </w:p>
        </w:tc>
        <w:tc>
          <w:tcPr>
            <w:tcW w:w="416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236AB7" w:rsidRPr="00A63246" w:rsidRDefault="00236AB7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36AB7" w:rsidRPr="00A63246" w:rsidTr="004A009D">
        <w:tc>
          <w:tcPr>
            <w:tcW w:w="2894" w:type="dxa"/>
            <w:vMerge/>
            <w:vAlign w:val="center"/>
          </w:tcPr>
          <w:p w:rsidR="00236AB7" w:rsidRPr="00A63246" w:rsidRDefault="00236AB7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80" w:type="dxa"/>
            <w:vAlign w:val="center"/>
          </w:tcPr>
          <w:p w:rsidR="00236AB7" w:rsidRPr="00842463" w:rsidRDefault="00236AB7" w:rsidP="003D7DA6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I</w:t>
            </w:r>
            <w:r w:rsidRPr="00236AB7">
              <w:rPr>
                <w:rFonts w:ascii="Calibri" w:hAnsi="Calibri" w:cs="Arial"/>
                <w:sz w:val="18"/>
                <w:szCs w:val="18"/>
              </w:rPr>
              <w:t xml:space="preserve">dentify </w:t>
            </w:r>
            <w:r>
              <w:rPr>
                <w:rFonts w:ascii="Calibri" w:hAnsi="Calibri" w:cs="Arial"/>
                <w:sz w:val="18"/>
                <w:szCs w:val="18"/>
              </w:rPr>
              <w:t>options</w:t>
            </w:r>
            <w:r w:rsidRPr="00236AB7">
              <w:rPr>
                <w:rFonts w:ascii="Calibri" w:hAnsi="Calibri" w:cs="Arial"/>
                <w:sz w:val="18"/>
                <w:szCs w:val="18"/>
              </w:rPr>
              <w:t xml:space="preserve"> for the future use of DGNSS stations</w:t>
            </w:r>
            <w:r>
              <w:rPr>
                <w:rFonts w:ascii="Calibri" w:hAnsi="Calibri" w:cs="Arial"/>
                <w:sz w:val="18"/>
                <w:szCs w:val="18"/>
              </w:rPr>
              <w:t xml:space="preserve"> in conjunction with ENG review of Recommendation </w:t>
            </w:r>
            <w:r w:rsidR="00BA5836">
              <w:rPr>
                <w:rFonts w:ascii="Calibri" w:hAnsi="Calibri" w:cs="Arial"/>
                <w:sz w:val="18"/>
                <w:szCs w:val="18"/>
              </w:rPr>
              <w:t>R-</w:t>
            </w:r>
            <w:r>
              <w:rPr>
                <w:rFonts w:ascii="Calibri" w:hAnsi="Calibri" w:cs="Arial"/>
                <w:sz w:val="18"/>
                <w:szCs w:val="18"/>
              </w:rPr>
              <w:t>150.</w:t>
            </w:r>
          </w:p>
        </w:tc>
        <w:tc>
          <w:tcPr>
            <w:tcW w:w="3804" w:type="dxa"/>
            <w:vAlign w:val="center"/>
          </w:tcPr>
          <w:p w:rsidR="00236AB7" w:rsidRDefault="00236AB7" w:rsidP="001B63B3">
            <w:pPr>
              <w:rPr>
                <w:rFonts w:ascii="Calibri" w:hAnsi="Calibri" w:cs="Arial"/>
                <w:sz w:val="18"/>
                <w:szCs w:val="18"/>
                <w:lang w:eastAsia="ja-JP"/>
              </w:rPr>
            </w:pPr>
            <w:r>
              <w:rPr>
                <w:rFonts w:ascii="Calibri" w:hAnsi="Calibri" w:cs="Arial"/>
                <w:sz w:val="18"/>
                <w:szCs w:val="18"/>
                <w:lang w:eastAsia="ja-JP"/>
              </w:rPr>
              <w:t>D</w:t>
            </w:r>
            <w:r w:rsidR="00BA5836">
              <w:rPr>
                <w:rFonts w:ascii="Calibri" w:hAnsi="Calibri" w:cs="Arial"/>
                <w:sz w:val="18"/>
                <w:szCs w:val="18"/>
                <w:lang w:eastAsia="ja-JP"/>
              </w:rPr>
              <w:t>raft update of Recommendation R-</w:t>
            </w:r>
            <w:r>
              <w:rPr>
                <w:rFonts w:ascii="Calibri" w:hAnsi="Calibri" w:cs="Arial"/>
                <w:sz w:val="18"/>
                <w:szCs w:val="18"/>
                <w:lang w:eastAsia="ja-JP"/>
              </w:rPr>
              <w:t>150 to ENG Committee</w:t>
            </w:r>
          </w:p>
        </w:tc>
        <w:tc>
          <w:tcPr>
            <w:tcW w:w="416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236AB7" w:rsidRPr="00B71F21" w:rsidRDefault="00236AB7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236AB7" w:rsidRPr="00A63246" w:rsidRDefault="00236AB7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3024F" w:rsidRPr="00A63246" w:rsidTr="00064A5B">
        <w:trPr>
          <w:trHeight w:val="1034"/>
        </w:trPr>
        <w:tc>
          <w:tcPr>
            <w:tcW w:w="2894" w:type="dxa"/>
            <w:vAlign w:val="center"/>
          </w:tcPr>
          <w:p w:rsidR="0013024F" w:rsidRPr="00A63246" w:rsidRDefault="0013024F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 w:cs="Arial"/>
                <w:sz w:val="18"/>
                <w:szCs w:val="18"/>
              </w:rPr>
            </w:pPr>
            <w:r w:rsidRPr="00A63246">
              <w:rPr>
                <w:rFonts w:ascii="Calibri" w:hAnsi="Calibri" w:cs="Arial"/>
                <w:sz w:val="18"/>
                <w:szCs w:val="18"/>
              </w:rPr>
              <w:t>Virtual marking</w:t>
            </w:r>
          </w:p>
        </w:tc>
        <w:tc>
          <w:tcPr>
            <w:tcW w:w="4680" w:type="dxa"/>
            <w:vAlign w:val="center"/>
          </w:tcPr>
          <w:p w:rsidR="0013024F" w:rsidRPr="00B71F21" w:rsidRDefault="004A009D" w:rsidP="00CD1B85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Review R0143 Provision of virtual aids to n</w:t>
            </w:r>
            <w:r w:rsidR="00355ACA" w:rsidRPr="00B71F21">
              <w:rPr>
                <w:rFonts w:ascii="Calibri" w:hAnsi="Calibri" w:cs="Arial"/>
                <w:sz w:val="18"/>
                <w:szCs w:val="18"/>
              </w:rPr>
              <w:t>avigation and G1091 Virtual AtoN to reflect developments</w:t>
            </w:r>
          </w:p>
        </w:tc>
        <w:tc>
          <w:tcPr>
            <w:tcW w:w="3804" w:type="dxa"/>
            <w:vAlign w:val="center"/>
          </w:tcPr>
          <w:p w:rsidR="0013024F" w:rsidRPr="00B71F21" w:rsidRDefault="00355ACA" w:rsidP="00CD1B85">
            <w:pPr>
              <w:ind w:firstLine="181"/>
              <w:rPr>
                <w:rFonts w:ascii="Calibri" w:hAnsi="Calibri" w:cs="Arial"/>
                <w:sz w:val="18"/>
                <w:szCs w:val="18"/>
                <w:lang w:eastAsia="ja-JP"/>
              </w:rPr>
            </w:pPr>
            <w:r w:rsidRPr="00B71F21">
              <w:rPr>
                <w:rFonts w:ascii="Calibri" w:hAnsi="Calibri" w:cs="Arial"/>
                <w:sz w:val="18"/>
                <w:szCs w:val="18"/>
                <w:lang w:eastAsia="ja-JP"/>
              </w:rPr>
              <w:t>Revised Recommendation and Guideline</w:t>
            </w:r>
          </w:p>
        </w:tc>
        <w:tc>
          <w:tcPr>
            <w:tcW w:w="416" w:type="dxa"/>
            <w:vAlign w:val="center"/>
          </w:tcPr>
          <w:p w:rsidR="0013024F" w:rsidRPr="00B71F21" w:rsidRDefault="008A4D38" w:rsidP="00D13DC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B71F21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13024F" w:rsidRPr="00B71F21" w:rsidRDefault="0013024F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3024F" w:rsidRPr="00B71F21" w:rsidRDefault="0013024F" w:rsidP="00D13DC3">
            <w:pPr>
              <w:pStyle w:val="Agenda2"/>
              <w:numPr>
                <w:ilvl w:val="0"/>
                <w:numId w:val="0"/>
              </w:numPr>
              <w:ind w:left="56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3024F" w:rsidRPr="00B71F21" w:rsidRDefault="0013024F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3024F" w:rsidRPr="00B71F21" w:rsidRDefault="0013024F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3024F" w:rsidRPr="00B71F21" w:rsidRDefault="0013024F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3024F" w:rsidRPr="00B71F21" w:rsidRDefault="0013024F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3024F" w:rsidRPr="00B71F21" w:rsidRDefault="0013024F" w:rsidP="00D13D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13024F" w:rsidRPr="00A63246" w:rsidRDefault="0013024F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163917" w:rsidRPr="00A63246" w:rsidTr="00064A5B">
        <w:trPr>
          <w:trHeight w:val="303"/>
        </w:trPr>
        <w:tc>
          <w:tcPr>
            <w:tcW w:w="14734" w:type="dxa"/>
            <w:gridSpan w:val="12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163917" w:rsidRPr="00B71F21" w:rsidRDefault="005012B2" w:rsidP="001925C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1020</w:t>
            </w:r>
            <w:r w:rsidR="000667D0" w:rsidRPr="00B71F21">
              <w:rPr>
                <w:rFonts w:ascii="Calibri" w:hAnsi="Calibri"/>
                <w:b/>
                <w:sz w:val="18"/>
                <w:szCs w:val="18"/>
              </w:rPr>
              <w:t xml:space="preserve"> – </w:t>
            </w:r>
            <w:r w:rsidR="001925C0" w:rsidRPr="00B71F21">
              <w:rPr>
                <w:rFonts w:ascii="Calibri" w:hAnsi="Calibri"/>
                <w:b/>
                <w:sz w:val="18"/>
                <w:szCs w:val="18"/>
              </w:rPr>
              <w:t>AtoN design and delivery</w:t>
            </w:r>
          </w:p>
        </w:tc>
      </w:tr>
      <w:tr w:rsidR="00064A5B" w:rsidRPr="00A63246" w:rsidTr="00064A5B">
        <w:trPr>
          <w:trHeight w:val="143"/>
        </w:trPr>
        <w:tc>
          <w:tcPr>
            <w:tcW w:w="2894" w:type="dxa"/>
            <w:vAlign w:val="center"/>
          </w:tcPr>
          <w:p w:rsidR="00064A5B" w:rsidRPr="00A63246" w:rsidRDefault="00064A5B" w:rsidP="001925C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Visual signalling</w:t>
            </w:r>
          </w:p>
        </w:tc>
        <w:tc>
          <w:tcPr>
            <w:tcW w:w="4680" w:type="dxa"/>
            <w:vAlign w:val="center"/>
          </w:tcPr>
          <w:p w:rsidR="00064A5B" w:rsidRPr="00B71F21" w:rsidRDefault="00064A5B" w:rsidP="001B63B3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In association with ENG review G1116 </w:t>
            </w:r>
            <w:r w:rsidR="001B63B3" w:rsidRPr="00B71F21">
              <w:rPr>
                <w:rFonts w:ascii="Calibri" w:hAnsi="Calibri"/>
                <w:noProof/>
                <w:sz w:val="18"/>
                <w:szCs w:val="18"/>
              </w:rPr>
              <w:t>Selection of Rhythmic Characters and Synchronisation of Lights for [Marine] Aids to Navigation (Dec 2015)</w:t>
            </w:r>
          </w:p>
        </w:tc>
        <w:tc>
          <w:tcPr>
            <w:tcW w:w="3804" w:type="dxa"/>
            <w:vAlign w:val="center"/>
          </w:tcPr>
          <w:p w:rsidR="00064A5B" w:rsidRPr="00B71F21" w:rsidRDefault="001B63B3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</w:t>
            </w:r>
          </w:p>
        </w:tc>
        <w:tc>
          <w:tcPr>
            <w:tcW w:w="416" w:type="dxa"/>
            <w:vAlign w:val="center"/>
          </w:tcPr>
          <w:p w:rsidR="00064A5B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244" w:type="dxa"/>
            <w:vAlign w:val="center"/>
          </w:tcPr>
          <w:p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64A5B" w:rsidRPr="00B71F21" w:rsidRDefault="00064A5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064A5B" w:rsidRPr="00A63246" w:rsidRDefault="00064A5B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3080B" w:rsidRPr="00A63246" w:rsidTr="00064A5B">
        <w:trPr>
          <w:trHeight w:val="143"/>
        </w:trPr>
        <w:tc>
          <w:tcPr>
            <w:tcW w:w="2894" w:type="dxa"/>
            <w:vAlign w:val="center"/>
          </w:tcPr>
          <w:p w:rsidR="00D3080B" w:rsidRPr="00A63246" w:rsidRDefault="00D3080B" w:rsidP="00D308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Design, implementation and maintenance</w:t>
            </w:r>
          </w:p>
        </w:tc>
        <w:tc>
          <w:tcPr>
            <w:tcW w:w="4680" w:type="dxa"/>
            <w:vAlign w:val="center"/>
          </w:tcPr>
          <w:p w:rsidR="00D3080B" w:rsidRPr="00B71F21" w:rsidRDefault="00D3080B" w:rsidP="00D3080B">
            <w:pPr>
              <w:pStyle w:val="Agenda2"/>
              <w:numPr>
                <w:ilvl w:val="2"/>
                <w:numId w:val="1"/>
              </w:numPr>
              <w:ind w:left="606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Review G1084 Procedure of the Authorisation of AIS AtoN </w:t>
            </w:r>
          </w:p>
        </w:tc>
        <w:tc>
          <w:tcPr>
            <w:tcW w:w="3804" w:type="dxa"/>
            <w:vAlign w:val="center"/>
          </w:tcPr>
          <w:p w:rsidR="00D3080B" w:rsidRPr="00B71F21" w:rsidRDefault="00D3080B" w:rsidP="001925C0">
            <w:pPr>
              <w:pStyle w:val="Agenda2"/>
              <w:numPr>
                <w:ilvl w:val="0"/>
                <w:numId w:val="0"/>
              </w:numPr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 (if required)</w:t>
            </w:r>
          </w:p>
        </w:tc>
        <w:tc>
          <w:tcPr>
            <w:tcW w:w="416" w:type="dxa"/>
            <w:vAlign w:val="center"/>
          </w:tcPr>
          <w:p w:rsidR="00D3080B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D3080B" w:rsidRPr="00B71F21" w:rsidRDefault="00D3080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D3080B" w:rsidRPr="00B71F21" w:rsidRDefault="00D3080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D3080B" w:rsidRPr="00B71F21" w:rsidRDefault="00D3080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D3080B" w:rsidRPr="00B71F21" w:rsidRDefault="00D3080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D3080B" w:rsidRPr="00B71F21" w:rsidRDefault="00D3080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D3080B" w:rsidRPr="00B71F21" w:rsidRDefault="00D3080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D3080B" w:rsidRPr="00B71F21" w:rsidRDefault="00D3080B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D3080B" w:rsidRPr="00A63246" w:rsidRDefault="00D3080B" w:rsidP="00BE49FF">
            <w:pPr>
              <w:ind w:left="85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925C0" w:rsidRPr="00A63246" w:rsidTr="001925C0">
        <w:trPr>
          <w:trHeight w:val="321"/>
        </w:trPr>
        <w:tc>
          <w:tcPr>
            <w:tcW w:w="14734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25C0" w:rsidRPr="00B71F21" w:rsidRDefault="00B84FBB" w:rsidP="0049407C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b/>
                <w:lang w:eastAsia="ja-JP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1050</w:t>
            </w:r>
            <w:r w:rsidR="001925C0" w:rsidRPr="00B71F21">
              <w:rPr>
                <w:rFonts w:ascii="Calibri" w:hAnsi="Calibri"/>
                <w:b/>
                <w:sz w:val="18"/>
                <w:szCs w:val="18"/>
              </w:rPr>
              <w:t xml:space="preserve"> – Training and Certification</w:t>
            </w:r>
          </w:p>
        </w:tc>
      </w:tr>
      <w:tr w:rsidR="001925C0" w:rsidRPr="00A63246" w:rsidTr="00504273">
        <w:trPr>
          <w:trHeight w:val="836"/>
        </w:trPr>
        <w:tc>
          <w:tcPr>
            <w:tcW w:w="2894" w:type="dxa"/>
            <w:vAlign w:val="center"/>
          </w:tcPr>
          <w:p w:rsidR="001925C0" w:rsidRPr="00A63246" w:rsidRDefault="001925C0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Training and certification</w:t>
            </w:r>
          </w:p>
        </w:tc>
        <w:tc>
          <w:tcPr>
            <w:tcW w:w="4680" w:type="dxa"/>
            <w:vAlign w:val="center"/>
          </w:tcPr>
          <w:p w:rsidR="001925C0" w:rsidRPr="00B71F21" w:rsidRDefault="003722DC" w:rsidP="003722DC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Review G1020 Training Related to [Marine] Aids to Navigation (Dec 2005)</w:t>
            </w:r>
          </w:p>
        </w:tc>
        <w:tc>
          <w:tcPr>
            <w:tcW w:w="3804" w:type="dxa"/>
            <w:vAlign w:val="center"/>
          </w:tcPr>
          <w:p w:rsidR="001925C0" w:rsidRPr="00B71F21" w:rsidRDefault="003722DC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 in collaboration with WWA</w:t>
            </w:r>
          </w:p>
        </w:tc>
        <w:tc>
          <w:tcPr>
            <w:tcW w:w="416" w:type="dxa"/>
            <w:vAlign w:val="center"/>
          </w:tcPr>
          <w:p w:rsidR="001925C0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vAlign w:val="center"/>
          </w:tcPr>
          <w:p w:rsidR="001925C0" w:rsidRPr="00B71F21" w:rsidRDefault="001925C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925C0" w:rsidRPr="00B71F21" w:rsidRDefault="001925C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925C0" w:rsidRPr="00B71F21" w:rsidRDefault="001925C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925C0" w:rsidRPr="00B71F21" w:rsidRDefault="001925C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1925C0" w:rsidRPr="00B71F21" w:rsidRDefault="001925C0" w:rsidP="00162137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1925C0" w:rsidRPr="00B71F21" w:rsidRDefault="001925C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1925C0" w:rsidRPr="00B71F21" w:rsidRDefault="001925C0" w:rsidP="0016213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1925C0" w:rsidRPr="00A63246" w:rsidRDefault="001925C0" w:rsidP="00BE49F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70494C" w:rsidRPr="00A63246" w:rsidTr="0070494C">
        <w:trPr>
          <w:trHeight w:val="530"/>
        </w:trPr>
        <w:tc>
          <w:tcPr>
            <w:tcW w:w="2894" w:type="dxa"/>
            <w:vAlign w:val="center"/>
          </w:tcPr>
          <w:p w:rsidR="0070494C" w:rsidRPr="00A63246" w:rsidRDefault="0070494C" w:rsidP="00CD1B8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Capacity building</w:t>
            </w:r>
          </w:p>
        </w:tc>
        <w:tc>
          <w:tcPr>
            <w:tcW w:w="4680" w:type="dxa"/>
            <w:vAlign w:val="center"/>
          </w:tcPr>
          <w:p w:rsidR="0070494C" w:rsidRPr="00B71F21" w:rsidRDefault="001B63B3" w:rsidP="00CD1B85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noProof/>
                <w:sz w:val="18"/>
                <w:szCs w:val="18"/>
              </w:rPr>
              <w:t>Review relevant sections of NAVGUIDE as requested by Secretariat</w:t>
            </w:r>
          </w:p>
        </w:tc>
        <w:tc>
          <w:tcPr>
            <w:tcW w:w="3804" w:type="dxa"/>
            <w:vAlign w:val="center"/>
          </w:tcPr>
          <w:p w:rsidR="0070494C" w:rsidRPr="00B71F21" w:rsidRDefault="001B63B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Revised NAVGUIDE section </w:t>
            </w:r>
          </w:p>
          <w:p w:rsidR="001B63B3" w:rsidRPr="00B71F21" w:rsidRDefault="001B63B3" w:rsidP="00A461F0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NAVGUIDE review to be led by IALA Secretariat</w:t>
            </w:r>
          </w:p>
        </w:tc>
        <w:tc>
          <w:tcPr>
            <w:tcW w:w="416" w:type="dxa"/>
            <w:vAlign w:val="center"/>
          </w:tcPr>
          <w:p w:rsidR="0070494C" w:rsidRPr="00B71F21" w:rsidRDefault="008A4D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All</w:t>
            </w:r>
          </w:p>
        </w:tc>
        <w:tc>
          <w:tcPr>
            <w:tcW w:w="244" w:type="dxa"/>
            <w:vAlign w:val="center"/>
          </w:tcPr>
          <w:p w:rsidR="0070494C" w:rsidRPr="00B71F21" w:rsidRDefault="0070494C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0494C" w:rsidRPr="00B71F21" w:rsidRDefault="0070494C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0494C" w:rsidRPr="00B71F21" w:rsidRDefault="0070494C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0494C" w:rsidRPr="00B71F21" w:rsidRDefault="0070494C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0494C" w:rsidRPr="00B71F21" w:rsidRDefault="0070494C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70494C" w:rsidRPr="00B71F21" w:rsidRDefault="0070494C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70494C" w:rsidRPr="00B71F21" w:rsidRDefault="0070494C" w:rsidP="00162137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70494C" w:rsidRPr="00A63246" w:rsidRDefault="0070494C" w:rsidP="00BE49FF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49407C" w:rsidRPr="00A63246" w:rsidTr="004A185F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49407C" w:rsidRPr="00B71F21" w:rsidRDefault="00B15500" w:rsidP="00B1550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Standard 106</w:t>
            </w:r>
            <w:r w:rsidR="0049407C" w:rsidRPr="00B71F21">
              <w:rPr>
                <w:rFonts w:ascii="Calibri" w:hAnsi="Calibri"/>
                <w:b/>
                <w:sz w:val="18"/>
                <w:szCs w:val="18"/>
              </w:rPr>
              <w:t xml:space="preserve">0 – </w:t>
            </w:r>
            <w:r w:rsidRPr="00B71F21">
              <w:rPr>
                <w:rFonts w:ascii="Calibri" w:hAnsi="Calibri"/>
                <w:b/>
                <w:sz w:val="18"/>
                <w:szCs w:val="18"/>
              </w:rPr>
              <w:t>Digital Communication Technologies</w:t>
            </w:r>
          </w:p>
        </w:tc>
      </w:tr>
      <w:tr w:rsidR="00B15500" w:rsidRPr="00A63246" w:rsidTr="002202FB">
        <w:trPr>
          <w:trHeight w:val="530"/>
        </w:trPr>
        <w:tc>
          <w:tcPr>
            <w:tcW w:w="2894" w:type="dxa"/>
            <w:vAlign w:val="center"/>
          </w:tcPr>
          <w:p w:rsidR="00B15500" w:rsidRPr="00A63246" w:rsidRDefault="00B15500" w:rsidP="00B1550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Wide/Medium bandwidth systems (AIS &amp; VDES)</w:t>
            </w:r>
          </w:p>
        </w:tc>
        <w:tc>
          <w:tcPr>
            <w:tcW w:w="4680" w:type="dxa"/>
            <w:vAlign w:val="center"/>
          </w:tcPr>
          <w:p w:rsidR="00B15500" w:rsidRPr="00B71F21" w:rsidRDefault="00B15500" w:rsidP="00B1550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noProof/>
                <w:sz w:val="18"/>
                <w:szCs w:val="18"/>
              </w:rPr>
              <w:t xml:space="preserve">Review </w:t>
            </w:r>
            <w:r w:rsidRPr="00B71F21">
              <w:rPr>
                <w:rFonts w:ascii="Calibri" w:hAnsi="Calibri"/>
                <w:sz w:val="18"/>
                <w:szCs w:val="18"/>
              </w:rPr>
              <w:t>G1050</w:t>
            </w:r>
            <w:r w:rsidRPr="00B71F21">
              <w:rPr>
                <w:rFonts w:ascii="Calibri" w:hAnsi="Calibri"/>
                <w:noProof/>
                <w:sz w:val="18"/>
                <w:szCs w:val="18"/>
              </w:rPr>
              <w:t xml:space="preserve"> Management and Monitoring of AIS Information (Dec 2005)</w:t>
            </w:r>
          </w:p>
        </w:tc>
        <w:tc>
          <w:tcPr>
            <w:tcW w:w="3804" w:type="dxa"/>
            <w:vAlign w:val="center"/>
          </w:tcPr>
          <w:p w:rsidR="00B15500" w:rsidRPr="00B71F21" w:rsidRDefault="00B15500" w:rsidP="002202FB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</w:t>
            </w:r>
          </w:p>
        </w:tc>
        <w:tc>
          <w:tcPr>
            <w:tcW w:w="416" w:type="dxa"/>
            <w:vAlign w:val="center"/>
          </w:tcPr>
          <w:p w:rsidR="00B15500" w:rsidRPr="00B71F21" w:rsidRDefault="008A4D38" w:rsidP="002202F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B15500" w:rsidRPr="00B71F21" w:rsidRDefault="00B15500" w:rsidP="002202F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15500" w:rsidRPr="00B71F21" w:rsidRDefault="00B15500" w:rsidP="002202F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15500" w:rsidRPr="00B71F21" w:rsidRDefault="00B15500" w:rsidP="002202F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15500" w:rsidRPr="00B71F21" w:rsidRDefault="00B15500" w:rsidP="002202F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15500" w:rsidRPr="00B71F21" w:rsidRDefault="00B15500" w:rsidP="002202F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B15500" w:rsidRPr="00B71F21" w:rsidRDefault="00B15500" w:rsidP="002202F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B15500" w:rsidRPr="00B71F21" w:rsidRDefault="00B15500" w:rsidP="002202FB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B15500" w:rsidRPr="00A63246" w:rsidRDefault="00B15500" w:rsidP="002202FB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11ECA" w:rsidRPr="00A63246" w:rsidTr="006B064B">
        <w:trPr>
          <w:trHeight w:val="530"/>
        </w:trPr>
        <w:tc>
          <w:tcPr>
            <w:tcW w:w="2894" w:type="dxa"/>
            <w:vMerge w:val="restart"/>
            <w:vAlign w:val="center"/>
          </w:tcPr>
          <w:p w:rsidR="00011ECA" w:rsidRPr="00A63246" w:rsidRDefault="00011ECA" w:rsidP="00CF323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Harmonised maritime connectivity frame</w:t>
            </w:r>
            <w:bookmarkStart w:id="0" w:name="_GoBack"/>
            <w:r>
              <w:rPr>
                <w:rFonts w:ascii="Calibri" w:hAnsi="Calibri"/>
                <w:sz w:val="18"/>
                <w:szCs w:val="18"/>
              </w:rPr>
              <w:t>work</w:t>
            </w:r>
            <w:bookmarkEnd w:id="0"/>
            <w:r>
              <w:rPr>
                <w:rFonts w:ascii="Calibri" w:hAnsi="Calibri"/>
                <w:sz w:val="18"/>
                <w:szCs w:val="18"/>
              </w:rPr>
              <w:t xml:space="preserve"> (CMDS) </w:t>
            </w:r>
            <w:r>
              <w:rPr>
                <w:rFonts w:ascii="Calibri" w:hAnsi="Calibri"/>
                <w:sz w:val="18"/>
                <w:szCs w:val="18"/>
              </w:rPr>
              <w:lastRenderedPageBreak/>
              <w:t>Maritime IoT ( Intelligent sensors, Aton monitoring)</w:t>
            </w:r>
          </w:p>
        </w:tc>
        <w:tc>
          <w:tcPr>
            <w:tcW w:w="4680" w:type="dxa"/>
            <w:vMerge w:val="restart"/>
            <w:vAlign w:val="center"/>
          </w:tcPr>
          <w:p w:rsidR="00011ECA" w:rsidRDefault="00011ECA" w:rsidP="00CF323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CF3233">
              <w:rPr>
                <w:rFonts w:ascii="Calibri" w:hAnsi="Calibri"/>
                <w:sz w:val="18"/>
                <w:szCs w:val="18"/>
              </w:rPr>
              <w:lastRenderedPageBreak/>
              <w:t>Digital Maritime Services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011ECA" w:rsidRPr="00CF3233" w:rsidRDefault="00011ECA" w:rsidP="00CF3233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New Guideline on </w:t>
            </w:r>
            <w:r w:rsidRPr="00CF3233">
              <w:rPr>
                <w:rFonts w:ascii="Calibri" w:hAnsi="Calibri"/>
                <w:sz w:val="18"/>
                <w:szCs w:val="18"/>
              </w:rPr>
              <w:t>Digital Maritime Services</w:t>
            </w:r>
          </w:p>
          <w:p w:rsidR="00011ECA" w:rsidRPr="00B71F21" w:rsidRDefault="00011ECA" w:rsidP="00EC735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 w:rsidRPr="00CF3233">
              <w:rPr>
                <w:rFonts w:ascii="Calibri" w:hAnsi="Calibri"/>
                <w:sz w:val="18"/>
                <w:szCs w:val="18"/>
              </w:rPr>
              <w:t>Structure and content of Maritime Services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011ECA" w:rsidRPr="00A63246" w:rsidRDefault="00011ECA" w:rsidP="00CF3233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011ECA" w:rsidRPr="00A63246" w:rsidTr="008B1112">
        <w:trPr>
          <w:trHeight w:val="530"/>
        </w:trPr>
        <w:tc>
          <w:tcPr>
            <w:tcW w:w="2894" w:type="dxa"/>
            <w:vMerge/>
            <w:vAlign w:val="center"/>
          </w:tcPr>
          <w:p w:rsidR="00011ECA" w:rsidRDefault="00011ECA" w:rsidP="00CF3233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vMerge/>
            <w:tcBorders>
              <w:bottom w:val="single" w:sz="4" w:space="0" w:color="auto"/>
            </w:tcBorders>
            <w:vAlign w:val="center"/>
          </w:tcPr>
          <w:p w:rsidR="00011ECA" w:rsidRPr="00CF3233" w:rsidRDefault="00011ECA" w:rsidP="00CF323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011ECA" w:rsidRDefault="00011ECA" w:rsidP="00EC7358">
            <w:pPr>
              <w:pStyle w:val="Agenda2"/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Contribute to IALA submission to IMO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011ECA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011ECA" w:rsidRPr="00B71F21" w:rsidRDefault="00011ECA" w:rsidP="00CF3233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011ECA" w:rsidRPr="00A63246" w:rsidRDefault="00011ECA" w:rsidP="00CF3233">
            <w:pPr>
              <w:pStyle w:val="Agenda2"/>
              <w:numPr>
                <w:ilvl w:val="0"/>
                <w:numId w:val="0"/>
              </w:numPr>
              <w:ind w:left="85"/>
              <w:rPr>
                <w:rFonts w:ascii="Calibri" w:hAnsi="Calibri"/>
                <w:sz w:val="18"/>
                <w:szCs w:val="18"/>
              </w:rPr>
            </w:pPr>
          </w:p>
        </w:tc>
      </w:tr>
      <w:tr w:rsidR="00B15500" w:rsidRPr="00A63246" w:rsidTr="004A185F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B15500" w:rsidRPr="00B71F21" w:rsidRDefault="00B15500" w:rsidP="00B15500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lastRenderedPageBreak/>
              <w:t>Standard 1070 – Information services</w:t>
            </w:r>
          </w:p>
        </w:tc>
      </w:tr>
      <w:tr w:rsidR="00273F16" w:rsidRPr="00A63246" w:rsidTr="001E0083">
        <w:trPr>
          <w:trHeight w:val="575"/>
        </w:trPr>
        <w:tc>
          <w:tcPr>
            <w:tcW w:w="2894" w:type="dxa"/>
            <w:vMerge w:val="restart"/>
            <w:vAlign w:val="center"/>
          </w:tcPr>
          <w:p w:rsidR="00273F16" w:rsidRPr="00A63246" w:rsidRDefault="00273F16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Data models and data encoding (IVEF, S-100, S-200, ASM)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B921B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Develop guidance on Maritime S</w:t>
            </w:r>
            <w:r w:rsidRPr="00B71F21">
              <w:rPr>
                <w:rFonts w:ascii="Calibri" w:hAnsi="Calibri"/>
                <w:sz w:val="18"/>
                <w:szCs w:val="18"/>
              </w:rPr>
              <w:t>ervice</w:t>
            </w:r>
            <w:r>
              <w:rPr>
                <w:rFonts w:ascii="Calibri" w:hAnsi="Calibri"/>
                <w:sz w:val="18"/>
                <w:szCs w:val="18"/>
              </w:rPr>
              <w:t>s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3A6291" w:rsidRDefault="00273F16" w:rsidP="003A629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New Guideline(s) – WG to identify full work scope and deliverables at ARM8</w:t>
            </w:r>
            <w:r>
              <w:rPr>
                <w:rFonts w:ascii="Calibri" w:hAnsi="Calibri"/>
                <w:sz w:val="18"/>
                <w:szCs w:val="18"/>
              </w:rPr>
              <w:t xml:space="preserve"> to include:</w:t>
            </w:r>
          </w:p>
          <w:p w:rsidR="003A6291" w:rsidRDefault="00273F16" w:rsidP="003A629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921BE">
              <w:rPr>
                <w:rFonts w:ascii="Calibri" w:hAnsi="Calibri"/>
                <w:sz w:val="18"/>
                <w:szCs w:val="18"/>
              </w:rPr>
              <w:t>Operational considerations for S-200 (S-201 AtoN information and S-230 Application Specific Messages</w:t>
            </w:r>
            <w:r>
              <w:rPr>
                <w:rFonts w:ascii="Calibri" w:hAnsi="Calibri"/>
                <w:sz w:val="18"/>
                <w:szCs w:val="18"/>
              </w:rPr>
              <w:t>)</w:t>
            </w:r>
          </w:p>
          <w:p w:rsidR="00273F16" w:rsidRPr="00B71F21" w:rsidRDefault="00273F16" w:rsidP="003A629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921BE">
              <w:rPr>
                <w:rFonts w:ascii="Calibri" w:hAnsi="Calibri"/>
                <w:sz w:val="18"/>
                <w:szCs w:val="18"/>
              </w:rPr>
              <w:t>Coordination with IHO</w:t>
            </w:r>
            <w:r>
              <w:rPr>
                <w:rFonts w:ascii="Calibri" w:hAnsi="Calibri"/>
                <w:sz w:val="18"/>
                <w:szCs w:val="18"/>
              </w:rPr>
              <w:t>/WMO</w:t>
            </w:r>
            <w:r w:rsidRPr="00B921BE">
              <w:rPr>
                <w:rFonts w:ascii="Calibri" w:hAnsi="Calibri"/>
                <w:sz w:val="18"/>
                <w:szCs w:val="18"/>
              </w:rPr>
              <w:t xml:space="preserve"> for S-100, S-200, and MRN management (S-100/S-200 message coordination</w:t>
            </w:r>
            <w:r>
              <w:rPr>
                <w:rFonts w:ascii="Calibri" w:hAnsi="Calibri"/>
                <w:sz w:val="18"/>
                <w:szCs w:val="18"/>
              </w:rPr>
              <w:t xml:space="preserve"> with other Committees on S-2xx development)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spacing w:after="120"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273F16" w:rsidRPr="00A63246" w:rsidRDefault="00273F16" w:rsidP="004A185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3E6D14" w:rsidRPr="00A63246" w:rsidTr="001E0083">
        <w:trPr>
          <w:trHeight w:val="575"/>
        </w:trPr>
        <w:tc>
          <w:tcPr>
            <w:tcW w:w="2894" w:type="dxa"/>
            <w:vMerge/>
            <w:vAlign w:val="center"/>
          </w:tcPr>
          <w:p w:rsidR="003E6D14" w:rsidRPr="00A63246" w:rsidRDefault="003E6D14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3E6D14" w:rsidRDefault="003E6D14" w:rsidP="003A6291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Coordinate</w:t>
            </w:r>
            <w:r w:rsidRPr="003E6D14">
              <w:rPr>
                <w:rFonts w:ascii="Calibri" w:hAnsi="Calibri"/>
                <w:color w:val="000000" w:themeColor="text1"/>
                <w:sz w:val="18"/>
                <w:szCs w:val="18"/>
              </w:rPr>
              <w:t xml:space="preserve"> Committee support for IALA representation at IHO working groups in cooperation with Secretariat (HSSC, S-100WG, NIPWG)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3E6D14" w:rsidRPr="00B71F21" w:rsidRDefault="003E6D14" w:rsidP="004A185F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IHO coordination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3E6D14" w:rsidRPr="00B71F21" w:rsidRDefault="003E6D14" w:rsidP="004A185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3E6D14" w:rsidRPr="00B71F21" w:rsidRDefault="003E6D14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E6D14" w:rsidRPr="00B71F21" w:rsidRDefault="003E6D14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3E6D14" w:rsidRPr="00B71F21" w:rsidRDefault="003E6D14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E6D14" w:rsidRPr="00B71F21" w:rsidRDefault="003E6D14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E6D14" w:rsidRPr="00B71F21" w:rsidRDefault="003E6D14" w:rsidP="004A185F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3E6D14" w:rsidRPr="00B71F21" w:rsidRDefault="003E6D14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3E6D14" w:rsidRPr="00B71F21" w:rsidRDefault="003E6D14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3E6D14" w:rsidRPr="00A63246" w:rsidRDefault="003E6D14" w:rsidP="004A185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273F16" w:rsidRPr="00A63246" w:rsidTr="001E0083">
        <w:trPr>
          <w:trHeight w:val="575"/>
        </w:trPr>
        <w:tc>
          <w:tcPr>
            <w:tcW w:w="2894" w:type="dxa"/>
            <w:vMerge/>
            <w:vAlign w:val="center"/>
          </w:tcPr>
          <w:p w:rsidR="00273F16" w:rsidRPr="00A63246" w:rsidRDefault="00273F16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273F16" w:rsidRDefault="003E6D14" w:rsidP="003E6D14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Monitor the d</w:t>
            </w:r>
            <w:r w:rsidRPr="003E6D14">
              <w:rPr>
                <w:rFonts w:ascii="Calibri" w:hAnsi="Calibri"/>
                <w:sz w:val="18"/>
                <w:szCs w:val="18"/>
              </w:rPr>
              <w:t>evelopment of S-201 Testbed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3E6D14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Update reports on S-201 testbed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273F16" w:rsidRPr="00B71F21" w:rsidRDefault="003E6D14" w:rsidP="004A185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273F16" w:rsidRPr="00B71F21" w:rsidRDefault="00273F16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273F16" w:rsidRPr="00A63246" w:rsidRDefault="00273F16" w:rsidP="004A185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90B9B" w:rsidRPr="00A63246" w:rsidTr="00734193">
        <w:trPr>
          <w:trHeight w:val="575"/>
        </w:trPr>
        <w:tc>
          <w:tcPr>
            <w:tcW w:w="2894" w:type="dxa"/>
            <w:vMerge w:val="restart"/>
            <w:vAlign w:val="center"/>
          </w:tcPr>
          <w:p w:rsidR="00890B9B" w:rsidRPr="00A63246" w:rsidRDefault="00890B9B" w:rsidP="003A629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Data exchange systems (Traffic Information)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A37097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Review G1072 AtoN Information Exchange and Presentation (Dec 2009) and consider if contents of G1105 can be incorporated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Revised Guideline or amalgamated with G1105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890B9B" w:rsidRPr="00A63246" w:rsidRDefault="00890B9B" w:rsidP="004A185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890B9B" w:rsidRPr="00A63246" w:rsidTr="004A185F">
        <w:trPr>
          <w:trHeight w:val="575"/>
        </w:trPr>
        <w:tc>
          <w:tcPr>
            <w:tcW w:w="2894" w:type="dxa"/>
            <w:vMerge/>
            <w:tcBorders>
              <w:bottom w:val="single" w:sz="4" w:space="0" w:color="auto"/>
            </w:tcBorders>
            <w:vAlign w:val="center"/>
          </w:tcPr>
          <w:p w:rsidR="00890B9B" w:rsidRPr="00A63246" w:rsidRDefault="00890B9B" w:rsidP="00A3709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890B9B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 xml:space="preserve">Develop 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Guideline on ship reporting from the shore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‐</w:t>
            </w:r>
            <w:r w:rsidRPr="00B71F21">
              <w:rPr>
                <w:rFonts w:ascii="Calibri" w:hAnsi="Calibri" w:hint="eastAsia"/>
                <w:sz w:val="18"/>
                <w:szCs w:val="18"/>
              </w:rPr>
              <w:t>side perspective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a. Ship Report Template Registry specifications and governance;</w:t>
            </w:r>
          </w:p>
          <w:p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b. Guideline on ship reporting tools;</w:t>
            </w:r>
          </w:p>
          <w:p w:rsidR="00F2256C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c. Minimum cyber security requirements for sharing ship report information;</w:t>
            </w:r>
          </w:p>
          <w:p w:rsidR="00890B9B" w:rsidRPr="00B71F21" w:rsidRDefault="003A6291" w:rsidP="00F2256C">
            <w:pPr>
              <w:pStyle w:val="Agenda2"/>
              <w:numPr>
                <w:ilvl w:val="0"/>
                <w:numId w:val="0"/>
              </w:numPr>
              <w:ind w:left="187"/>
              <w:rPr>
                <w:rFonts w:ascii="Calibri" w:hAnsi="Calibri"/>
                <w:sz w:val="18"/>
                <w:szCs w:val="18"/>
              </w:rPr>
            </w:pPr>
            <w:r w:rsidRPr="003A6291">
              <w:rPr>
                <w:rFonts w:ascii="Calibri" w:hAnsi="Calibri"/>
                <w:sz w:val="18"/>
                <w:szCs w:val="18"/>
              </w:rPr>
              <w:t>d. Guidance on migration from current ship reporting system to a harmonised and secure electronic system;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890B9B" w:rsidRPr="00B71F21" w:rsidRDefault="00890B9B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890B9B" w:rsidRPr="00A63246" w:rsidRDefault="00890B9B" w:rsidP="004A185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49407C" w:rsidRPr="00A63246" w:rsidTr="004A185F">
        <w:trPr>
          <w:trHeight w:val="575"/>
        </w:trPr>
        <w:tc>
          <w:tcPr>
            <w:tcW w:w="2894" w:type="dxa"/>
            <w:tcBorders>
              <w:bottom w:val="single" w:sz="4" w:space="0" w:color="auto"/>
            </w:tcBorders>
            <w:vAlign w:val="center"/>
          </w:tcPr>
          <w:p w:rsidR="0049407C" w:rsidRPr="00A63246" w:rsidRDefault="0049407C" w:rsidP="004A185F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lastRenderedPageBreak/>
              <w:t>Terminology, symbology, and portrayal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49407C" w:rsidRPr="00B71F21" w:rsidRDefault="0049407C" w:rsidP="004A185F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Develop guidance on the</w:t>
            </w:r>
            <w:r w:rsidR="00766BE5" w:rsidRPr="00B71F21">
              <w:rPr>
                <w:rFonts w:ascii="Calibri" w:hAnsi="Calibri"/>
                <w:sz w:val="18"/>
                <w:szCs w:val="18"/>
              </w:rPr>
              <w:t xml:space="preserve"> symbology and portrayal of AtoN for charting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49407C" w:rsidRPr="00B71F21" w:rsidRDefault="00DB0B3B" w:rsidP="004A185F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New Guideline and possibly recommendation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49407C" w:rsidRPr="00B71F21" w:rsidRDefault="008A4D38" w:rsidP="004A185F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49407C" w:rsidRPr="00B71F21" w:rsidRDefault="0049407C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49407C" w:rsidRPr="00B71F21" w:rsidRDefault="0049407C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49407C" w:rsidRPr="00B71F21" w:rsidRDefault="0049407C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49407C" w:rsidRPr="00B71F21" w:rsidRDefault="0049407C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49407C" w:rsidRPr="00B71F21" w:rsidRDefault="0049407C" w:rsidP="004A185F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49407C" w:rsidRPr="00B71F21" w:rsidRDefault="0049407C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49407C" w:rsidRPr="00B71F21" w:rsidRDefault="0049407C" w:rsidP="004A1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49407C" w:rsidRPr="00A63246" w:rsidRDefault="0049407C" w:rsidP="004A185F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E51BB9" w:rsidRPr="00A63246" w:rsidTr="006C4271">
        <w:tc>
          <w:tcPr>
            <w:tcW w:w="14734" w:type="dxa"/>
            <w:gridSpan w:val="12"/>
            <w:tcBorders>
              <w:top w:val="doub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E51BB9" w:rsidRPr="00B71F21" w:rsidRDefault="00E51BB9" w:rsidP="00E51BB9">
            <w:pPr>
              <w:pStyle w:val="Agenda1"/>
              <w:tabs>
                <w:tab w:val="num" w:pos="459"/>
              </w:tabs>
              <w:ind w:left="85" w:firstLine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B71F21">
              <w:rPr>
                <w:rFonts w:ascii="Calibri" w:hAnsi="Calibri"/>
                <w:b/>
                <w:sz w:val="18"/>
                <w:szCs w:val="18"/>
              </w:rPr>
              <w:t>Other</w:t>
            </w:r>
          </w:p>
        </w:tc>
      </w:tr>
      <w:tr w:rsidR="00E51BB9" w:rsidRPr="00A63246" w:rsidTr="00E51BB9">
        <w:trPr>
          <w:trHeight w:val="369"/>
        </w:trPr>
        <w:tc>
          <w:tcPr>
            <w:tcW w:w="2894" w:type="dxa"/>
            <w:tcBorders>
              <w:bottom w:val="single" w:sz="4" w:space="0" w:color="auto"/>
            </w:tcBorders>
            <w:vAlign w:val="center"/>
          </w:tcPr>
          <w:p w:rsidR="00E51BB9" w:rsidRPr="00A63246" w:rsidRDefault="00E51BB9" w:rsidP="006C427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Seminar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E51BB9" w:rsidRPr="00B71F21" w:rsidRDefault="00E51BB9" w:rsidP="00E51BB9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Cooperate with WWA  in providing Risk Seminar(s)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E51BB9" w:rsidRPr="00B71F21" w:rsidRDefault="00E51BB9" w:rsidP="006C427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E51BB9" w:rsidRPr="00B71F21" w:rsidRDefault="008A4D38" w:rsidP="006C427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B71F21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E51BB9" w:rsidRPr="00B71F21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51BB9" w:rsidRPr="00B71F21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E51BB9" w:rsidRPr="00B71F21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51BB9" w:rsidRPr="00B71F21" w:rsidRDefault="00E51BB9" w:rsidP="006C4271">
            <w:pPr>
              <w:spacing w:after="120" w:line="276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51BB9" w:rsidRPr="00B71F21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51BB9" w:rsidRPr="00B71F21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E51BB9" w:rsidRPr="00B71F21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E51BB9" w:rsidRPr="00A63246" w:rsidRDefault="00E51BB9" w:rsidP="006C427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E51BB9" w:rsidRPr="00A63246" w:rsidTr="00E51BB9">
        <w:trPr>
          <w:trHeight w:val="417"/>
        </w:trPr>
        <w:tc>
          <w:tcPr>
            <w:tcW w:w="2894" w:type="dxa"/>
            <w:vMerge w:val="restart"/>
            <w:vAlign w:val="center"/>
          </w:tcPr>
          <w:p w:rsidR="00E51BB9" w:rsidRPr="00A63246" w:rsidRDefault="00E51BB9" w:rsidP="006C427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Workshop</w:t>
            </w:r>
          </w:p>
        </w:tc>
        <w:tc>
          <w:tcPr>
            <w:tcW w:w="4680" w:type="dxa"/>
            <w:vAlign w:val="center"/>
          </w:tcPr>
          <w:p w:rsidR="00E51BB9" w:rsidRPr="00A63246" w:rsidRDefault="001B63B3" w:rsidP="00B921B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Lead</w:t>
            </w:r>
            <w:r w:rsidR="00E51BB9" w:rsidRPr="00A63246">
              <w:rPr>
                <w:rFonts w:ascii="Calibri" w:hAnsi="Calibri"/>
                <w:sz w:val="18"/>
                <w:szCs w:val="18"/>
              </w:rPr>
              <w:t xml:space="preserve"> joint workshop with IHO on </w:t>
            </w:r>
            <w:r w:rsidR="00B921BE" w:rsidRPr="00B921BE">
              <w:rPr>
                <w:rFonts w:ascii="Calibri" w:hAnsi="Calibri"/>
                <w:sz w:val="18"/>
                <w:szCs w:val="18"/>
              </w:rPr>
              <w:t>S-100/200</w:t>
            </w:r>
            <w:r w:rsidR="00B921BE">
              <w:rPr>
                <w:rFonts w:ascii="Calibri" w:hAnsi="Calibri"/>
                <w:sz w:val="18"/>
                <w:szCs w:val="18"/>
              </w:rPr>
              <w:t xml:space="preserve"> and portrayal</w:t>
            </w:r>
            <w:r w:rsidR="00B921BE" w:rsidRPr="00B921BE">
              <w:rPr>
                <w:rFonts w:ascii="Calibri" w:hAnsi="Calibri"/>
                <w:sz w:val="18"/>
                <w:szCs w:val="18"/>
              </w:rPr>
              <w:t xml:space="preserve"> workshop </w:t>
            </w:r>
          </w:p>
        </w:tc>
        <w:tc>
          <w:tcPr>
            <w:tcW w:w="3804" w:type="dxa"/>
            <w:vAlign w:val="center"/>
          </w:tcPr>
          <w:p w:rsidR="00E51BB9" w:rsidRPr="00A63246" w:rsidRDefault="001B63B3" w:rsidP="006C427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New Guideline</w:t>
            </w:r>
          </w:p>
        </w:tc>
        <w:tc>
          <w:tcPr>
            <w:tcW w:w="416" w:type="dxa"/>
            <w:vAlign w:val="center"/>
          </w:tcPr>
          <w:p w:rsidR="00E51BB9" w:rsidRPr="00A63246" w:rsidRDefault="008A4D38" w:rsidP="006C427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vAlign w:val="center"/>
          </w:tcPr>
          <w:p w:rsidR="00E51BB9" w:rsidRPr="00A63246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51BB9" w:rsidRPr="00A63246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51BB9" w:rsidRPr="00A63246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51BB9" w:rsidRPr="00A63246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</w:tcPr>
          <w:p w:rsidR="00E51BB9" w:rsidRPr="00A63246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vAlign w:val="center"/>
          </w:tcPr>
          <w:p w:rsidR="00E51BB9" w:rsidRPr="00A63246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E51BB9" w:rsidRPr="00A63246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:rsidR="00E51BB9" w:rsidRPr="00A63246" w:rsidRDefault="00E51BB9" w:rsidP="006C427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  <w:tr w:rsidR="00E51BB9" w:rsidRPr="00A93F79" w:rsidTr="00E51BB9">
        <w:trPr>
          <w:trHeight w:val="408"/>
        </w:trPr>
        <w:tc>
          <w:tcPr>
            <w:tcW w:w="2894" w:type="dxa"/>
            <w:vMerge/>
            <w:tcBorders>
              <w:bottom w:val="single" w:sz="4" w:space="0" w:color="auto"/>
            </w:tcBorders>
            <w:vAlign w:val="center"/>
          </w:tcPr>
          <w:p w:rsidR="00E51BB9" w:rsidRPr="00A63246" w:rsidRDefault="00E51BB9" w:rsidP="006C4271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E51BB9" w:rsidRPr="00A63246" w:rsidRDefault="001B63B3" w:rsidP="001B63B3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Participate in ENG led joint workshop on cyber security</w:t>
            </w:r>
          </w:p>
        </w:tc>
        <w:tc>
          <w:tcPr>
            <w:tcW w:w="3804" w:type="dxa"/>
            <w:tcBorders>
              <w:bottom w:val="single" w:sz="4" w:space="0" w:color="auto"/>
            </w:tcBorders>
            <w:vAlign w:val="center"/>
          </w:tcPr>
          <w:p w:rsidR="00E51BB9" w:rsidRPr="00A63246" w:rsidRDefault="001B63B3" w:rsidP="006C4271">
            <w:pPr>
              <w:pStyle w:val="Agenda2"/>
              <w:numPr>
                <w:ilvl w:val="0"/>
                <w:numId w:val="0"/>
              </w:numPr>
              <w:ind w:left="185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Guidance on cyber security</w:t>
            </w: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E51BB9" w:rsidRPr="00A93F79" w:rsidRDefault="008A4D38" w:rsidP="006C4271">
            <w:pPr>
              <w:pStyle w:val="Agenda2"/>
              <w:numPr>
                <w:ilvl w:val="0"/>
                <w:numId w:val="0"/>
              </w:numPr>
              <w:jc w:val="center"/>
              <w:rPr>
                <w:rFonts w:ascii="Calibri" w:hAnsi="Calibri"/>
                <w:sz w:val="18"/>
                <w:szCs w:val="18"/>
              </w:rPr>
            </w:pPr>
            <w:r w:rsidRPr="00A63246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44" w:type="dxa"/>
            <w:tcBorders>
              <w:bottom w:val="single" w:sz="4" w:space="0" w:color="auto"/>
            </w:tcBorders>
            <w:vAlign w:val="center"/>
          </w:tcPr>
          <w:p w:rsidR="00E51BB9" w:rsidRPr="00A93F79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51BB9" w:rsidRPr="00A93F79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E51BB9" w:rsidRPr="00A93F79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51BB9" w:rsidRPr="00A93F79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51BB9" w:rsidRPr="00A93F79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E51BB9" w:rsidRPr="00A93F79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E51BB9" w:rsidRPr="00A93F79" w:rsidRDefault="00E51BB9" w:rsidP="006C427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E51BB9" w:rsidRPr="00A93F79" w:rsidRDefault="00E51BB9" w:rsidP="006C4271">
            <w:pPr>
              <w:ind w:left="85"/>
              <w:rPr>
                <w:rFonts w:ascii="Calibri" w:hAnsi="Calibri" w:cs="Arial"/>
                <w:sz w:val="18"/>
                <w:szCs w:val="18"/>
                <w:lang w:eastAsia="ja-JP"/>
              </w:rPr>
            </w:pPr>
          </w:p>
        </w:tc>
      </w:tr>
    </w:tbl>
    <w:p w:rsidR="00AE72CB" w:rsidRDefault="00AE72CB" w:rsidP="0054630B">
      <w:pPr>
        <w:rPr>
          <w:rFonts w:ascii="Calibri" w:hAnsi="Calibri"/>
          <w:sz w:val="18"/>
          <w:szCs w:val="18"/>
        </w:rPr>
      </w:pPr>
    </w:p>
    <w:p w:rsidR="00AE598A" w:rsidRDefault="00AE598A" w:rsidP="0054630B">
      <w:pPr>
        <w:rPr>
          <w:rFonts w:ascii="Calibri" w:hAnsi="Calibri"/>
          <w:sz w:val="18"/>
          <w:szCs w:val="18"/>
        </w:rPr>
      </w:pPr>
    </w:p>
    <w:p w:rsidR="00AE598A" w:rsidRPr="00854555" w:rsidRDefault="00854555" w:rsidP="00854555">
      <w:pPr>
        <w:jc w:val="center"/>
        <w:rPr>
          <w:rFonts w:ascii="Calibri" w:hAnsi="Calibri"/>
        </w:rPr>
      </w:pPr>
      <w:r w:rsidRPr="00854555">
        <w:rPr>
          <w:rFonts w:ascii="Calibri" w:hAnsi="Calibri"/>
        </w:rPr>
        <w:t>Provisional Working Group Chair and Vice Chairs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1"/>
        <w:gridCol w:w="5139"/>
      </w:tblGrid>
      <w:tr w:rsidR="00AE598A" w:rsidRPr="001D1FB2" w:rsidTr="002202FB">
        <w:trPr>
          <w:jc w:val="center"/>
        </w:trPr>
        <w:tc>
          <w:tcPr>
            <w:tcW w:w="3791" w:type="dxa"/>
            <w:tcBorders>
              <w:bottom w:val="thickThinSmallGap" w:sz="24" w:space="0" w:color="auto"/>
            </w:tcBorders>
            <w:shd w:val="clear" w:color="auto" w:fill="548DD4" w:themeFill="text2" w:themeFillTint="99"/>
            <w:vAlign w:val="center"/>
          </w:tcPr>
          <w:p w:rsidR="00AE598A" w:rsidRPr="001D1FB2" w:rsidRDefault="00AE598A" w:rsidP="002202FB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1D1FB2">
              <w:rPr>
                <w:b/>
                <w:color w:val="FFFFFF" w:themeColor="background1"/>
              </w:rPr>
              <w:t>Working Group (WG)</w:t>
            </w:r>
          </w:p>
        </w:tc>
        <w:tc>
          <w:tcPr>
            <w:tcW w:w="5139" w:type="dxa"/>
            <w:tcBorders>
              <w:bottom w:val="thickThinSmallGap" w:sz="24" w:space="0" w:color="auto"/>
            </w:tcBorders>
            <w:shd w:val="clear" w:color="auto" w:fill="548DD4" w:themeFill="text2" w:themeFillTint="99"/>
          </w:tcPr>
          <w:p w:rsidR="00AE598A" w:rsidRPr="001D1FB2" w:rsidRDefault="00AE598A" w:rsidP="002202FB">
            <w:pPr>
              <w:spacing w:before="120"/>
              <w:jc w:val="center"/>
              <w:rPr>
                <w:b/>
                <w:color w:val="FFFFFF" w:themeColor="background1"/>
              </w:rPr>
            </w:pPr>
            <w:r w:rsidRPr="001D1FB2">
              <w:rPr>
                <w:b/>
                <w:color w:val="FFFFFF" w:themeColor="background1"/>
              </w:rPr>
              <w:t>Working Group Chair / Vice Chair</w:t>
            </w:r>
          </w:p>
        </w:tc>
      </w:tr>
      <w:tr w:rsidR="00AE598A" w:rsidRPr="000F5B22" w:rsidTr="002202FB">
        <w:trPr>
          <w:jc w:val="center"/>
        </w:trPr>
        <w:tc>
          <w:tcPr>
            <w:tcW w:w="3791" w:type="dxa"/>
            <w:tcBorders>
              <w:top w:val="thickThinSmallGap" w:sz="24" w:space="0" w:color="auto"/>
            </w:tcBorders>
            <w:vAlign w:val="center"/>
          </w:tcPr>
          <w:p w:rsidR="00AE598A" w:rsidRPr="00E02F11" w:rsidRDefault="00AE598A" w:rsidP="002202FB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WG1 – Navigational Requirements</w:t>
            </w:r>
          </w:p>
        </w:tc>
        <w:tc>
          <w:tcPr>
            <w:tcW w:w="5139" w:type="dxa"/>
            <w:tcBorders>
              <w:top w:val="thickThinSmallGap" w:sz="24" w:space="0" w:color="auto"/>
            </w:tcBorders>
            <w:vAlign w:val="center"/>
          </w:tcPr>
          <w:p w:rsidR="00AE598A" w:rsidRPr="00E02F11" w:rsidRDefault="00854555" w:rsidP="00854555">
            <w:pPr>
              <w:spacing w:before="120"/>
              <w:rPr>
                <w:sz w:val="18"/>
                <w:szCs w:val="18"/>
              </w:rPr>
            </w:pPr>
            <w:proofErr w:type="spellStart"/>
            <w:r w:rsidRPr="00E02F11">
              <w:rPr>
                <w:sz w:val="18"/>
                <w:szCs w:val="18"/>
              </w:rPr>
              <w:t>Guttorm</w:t>
            </w:r>
            <w:proofErr w:type="spellEnd"/>
            <w:r w:rsidRPr="00E02F11">
              <w:rPr>
                <w:sz w:val="18"/>
                <w:szCs w:val="18"/>
              </w:rPr>
              <w:t xml:space="preserve"> </w:t>
            </w:r>
            <w:proofErr w:type="spellStart"/>
            <w:r w:rsidRPr="00E02F11">
              <w:rPr>
                <w:sz w:val="18"/>
                <w:szCs w:val="18"/>
              </w:rPr>
              <w:t>Tomren</w:t>
            </w:r>
            <w:proofErr w:type="spellEnd"/>
            <w:r w:rsidRPr="00E02F11">
              <w:rPr>
                <w:sz w:val="18"/>
                <w:szCs w:val="18"/>
              </w:rPr>
              <w:t xml:space="preserve">  </w:t>
            </w:r>
            <w:r w:rsidR="00AE598A" w:rsidRPr="00E02F11">
              <w:rPr>
                <w:sz w:val="18"/>
                <w:szCs w:val="18"/>
              </w:rPr>
              <w:t xml:space="preserve">/ Johan </w:t>
            </w:r>
            <w:proofErr w:type="spellStart"/>
            <w:r w:rsidR="00AE598A" w:rsidRPr="00E02F11">
              <w:rPr>
                <w:sz w:val="18"/>
                <w:szCs w:val="18"/>
              </w:rPr>
              <w:t>Westerlund</w:t>
            </w:r>
            <w:proofErr w:type="spellEnd"/>
            <w:r w:rsidR="00AE598A" w:rsidRPr="00E02F11">
              <w:rPr>
                <w:sz w:val="18"/>
                <w:szCs w:val="18"/>
              </w:rPr>
              <w:t xml:space="preserve"> </w:t>
            </w:r>
          </w:p>
        </w:tc>
      </w:tr>
      <w:tr w:rsidR="00AE598A" w:rsidRPr="000F5B22" w:rsidTr="00AE598A">
        <w:trPr>
          <w:jc w:val="center"/>
        </w:trPr>
        <w:tc>
          <w:tcPr>
            <w:tcW w:w="3791" w:type="dxa"/>
            <w:vAlign w:val="center"/>
          </w:tcPr>
          <w:p w:rsidR="00AE598A" w:rsidRPr="00E02F11" w:rsidRDefault="00AE598A" w:rsidP="00AE598A">
            <w:pPr>
              <w:spacing w:before="120"/>
              <w:ind w:left="720" w:hanging="7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WG2 – Information Services and Portrayal</w:t>
            </w:r>
          </w:p>
        </w:tc>
        <w:tc>
          <w:tcPr>
            <w:tcW w:w="5139" w:type="dxa"/>
            <w:vAlign w:val="center"/>
          </w:tcPr>
          <w:p w:rsidR="00AE598A" w:rsidRPr="00E02F11" w:rsidRDefault="00854555" w:rsidP="00354EE2">
            <w:pPr>
              <w:spacing w:before="120"/>
              <w:rPr>
                <w:sz w:val="18"/>
                <w:szCs w:val="18"/>
                <w:highlight w:val="yellow"/>
              </w:rPr>
            </w:pPr>
            <w:r w:rsidRPr="00E02F11">
              <w:rPr>
                <w:rFonts w:cstheme="minorHAnsi"/>
                <w:sz w:val="18"/>
                <w:szCs w:val="18"/>
              </w:rPr>
              <w:t xml:space="preserve">Jorge </w:t>
            </w:r>
            <w:proofErr w:type="spellStart"/>
            <w:r w:rsidRPr="00E02F11">
              <w:rPr>
                <w:rFonts w:cstheme="minorHAnsi"/>
                <w:sz w:val="18"/>
                <w:szCs w:val="18"/>
              </w:rPr>
              <w:t>Teles</w:t>
            </w:r>
            <w:proofErr w:type="spellEnd"/>
            <w:r w:rsidRPr="00E02F11">
              <w:rPr>
                <w:rFonts w:cstheme="minorHAnsi"/>
                <w:sz w:val="18"/>
                <w:szCs w:val="18"/>
              </w:rPr>
              <w:t xml:space="preserve"> </w:t>
            </w:r>
            <w:r w:rsidR="0075156F" w:rsidRPr="00E02F11">
              <w:rPr>
                <w:rFonts w:cstheme="minorHAnsi"/>
                <w:sz w:val="18"/>
                <w:szCs w:val="18"/>
              </w:rPr>
              <w:t xml:space="preserve">/ Martin </w:t>
            </w:r>
            <w:proofErr w:type="spellStart"/>
            <w:r w:rsidR="0075156F" w:rsidRPr="00E02F11">
              <w:rPr>
                <w:rFonts w:cstheme="minorHAnsi"/>
                <w:sz w:val="18"/>
                <w:szCs w:val="18"/>
              </w:rPr>
              <w:t>Bransby</w:t>
            </w:r>
            <w:proofErr w:type="spellEnd"/>
          </w:p>
        </w:tc>
      </w:tr>
      <w:tr w:rsidR="00AE598A" w:rsidRPr="000F5B22" w:rsidTr="002202FB">
        <w:trPr>
          <w:jc w:val="center"/>
        </w:trPr>
        <w:tc>
          <w:tcPr>
            <w:tcW w:w="3791" w:type="dxa"/>
            <w:vAlign w:val="center"/>
          </w:tcPr>
          <w:p w:rsidR="00AE598A" w:rsidRPr="00E02F11" w:rsidRDefault="00AE598A" w:rsidP="002202FB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>WG3 – Risk Management</w:t>
            </w:r>
          </w:p>
        </w:tc>
        <w:tc>
          <w:tcPr>
            <w:tcW w:w="5139" w:type="dxa"/>
          </w:tcPr>
          <w:p w:rsidR="00AE598A" w:rsidRPr="00E02F11" w:rsidRDefault="00AE598A" w:rsidP="0075156F">
            <w:pPr>
              <w:spacing w:before="120"/>
              <w:rPr>
                <w:sz w:val="18"/>
                <w:szCs w:val="18"/>
              </w:rPr>
            </w:pPr>
            <w:r w:rsidRPr="00E02F11">
              <w:rPr>
                <w:sz w:val="18"/>
                <w:szCs w:val="18"/>
              </w:rPr>
              <w:t xml:space="preserve">Roger Barker / </w:t>
            </w:r>
            <w:r w:rsidR="0075156F" w:rsidRPr="00E02F11">
              <w:rPr>
                <w:sz w:val="18"/>
                <w:szCs w:val="18"/>
              </w:rPr>
              <w:t xml:space="preserve">Catherine </w:t>
            </w:r>
            <w:proofErr w:type="spellStart"/>
            <w:r w:rsidR="0075156F" w:rsidRPr="00E02F11">
              <w:rPr>
                <w:sz w:val="18"/>
                <w:szCs w:val="18"/>
              </w:rPr>
              <w:t>Steenberg</w:t>
            </w:r>
            <w:proofErr w:type="spellEnd"/>
          </w:p>
        </w:tc>
      </w:tr>
    </w:tbl>
    <w:p w:rsidR="00AE598A" w:rsidRPr="00A93F79" w:rsidRDefault="00AE598A" w:rsidP="0054630B">
      <w:pPr>
        <w:rPr>
          <w:rFonts w:ascii="Calibri" w:hAnsi="Calibri"/>
          <w:sz w:val="18"/>
          <w:szCs w:val="18"/>
        </w:rPr>
      </w:pPr>
    </w:p>
    <w:sectPr w:rsidR="00AE598A" w:rsidRPr="00A93F79" w:rsidSect="001925C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8E4" w:rsidRDefault="00DC28E4" w:rsidP="00265694">
      <w:pPr>
        <w:spacing w:after="0" w:line="240" w:lineRule="auto"/>
      </w:pPr>
      <w:r>
        <w:separator/>
      </w:r>
    </w:p>
  </w:endnote>
  <w:endnote w:type="continuationSeparator" w:id="0">
    <w:p w:rsidR="00DC28E4" w:rsidRDefault="00DC28E4" w:rsidP="0026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B73" w:rsidRDefault="00071507">
    <w:pPr>
      <w:pStyle w:val="Footer"/>
    </w:pPr>
    <w:r>
      <w:t>ARM</w:t>
    </w:r>
    <w:r w:rsidR="00626B73" w:rsidRPr="00A628AC">
      <w:t xml:space="preserve"> Committee – Work Plan 20</w:t>
    </w:r>
    <w:r>
      <w:t>18</w:t>
    </w:r>
    <w:r w:rsidR="00626B73" w:rsidRPr="00A628AC">
      <w:t>-20</w:t>
    </w:r>
    <w:r>
      <w:t>22</w:t>
    </w:r>
  </w:p>
  <w:p w:rsidR="00626B73" w:rsidRDefault="00626B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8E4" w:rsidRDefault="00DC28E4" w:rsidP="00265694">
      <w:pPr>
        <w:spacing w:after="0" w:line="240" w:lineRule="auto"/>
      </w:pPr>
      <w:r>
        <w:separator/>
      </w:r>
    </w:p>
  </w:footnote>
  <w:footnote w:type="continuationSeparator" w:id="0">
    <w:p w:rsidR="00DC28E4" w:rsidRDefault="00DC28E4" w:rsidP="0026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8F" w:rsidRDefault="00DC28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2" o:spid="_x0000_s2050" type="#_x0000_t136" style="position:absolute;margin-left:0;margin-top:0;width:381.75pt;height:254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366" w:rsidRDefault="00DC28E4" w:rsidP="003862F3">
    <w:pPr>
      <w:pStyle w:val="Header"/>
      <w:wordWrap w:val="0"/>
      <w:jc w:val="right"/>
      <w:rPr>
        <w:lang w:eastAsia="ja-JP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3" o:spid="_x0000_s2051" type="#_x0000_t136" style="position:absolute;left:0;text-align:left;margin-left:0;margin-top:0;width:381.75pt;height:254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196065">
      <w:rPr>
        <w:lang w:eastAsia="ja-JP"/>
      </w:rPr>
      <w:t>ARM8-6.1 (2018</w:t>
    </w:r>
    <w:r w:rsidR="00CE4A68">
      <w:rPr>
        <w:lang w:eastAsia="ja-JP"/>
      </w:rPr>
      <w:t>1003</w:t>
    </w:r>
    <w:r w:rsidR="00AD4AA5">
      <w:rPr>
        <w:lang w:eastAsia="ja-JP"/>
      </w:rPr>
      <w:t>)</w:t>
    </w:r>
  </w:p>
  <w:p w:rsidR="00626B73" w:rsidRDefault="00626B73" w:rsidP="0013024F">
    <w:pPr>
      <w:pStyle w:val="Header"/>
      <w:wordWrap w:val="0"/>
      <w:ind w:right="440"/>
      <w:jc w:val="right"/>
      <w:rPr>
        <w:lang w:eastAsia="ja-JP"/>
      </w:rPr>
    </w:pPr>
    <w:r>
      <w:rPr>
        <w:noProof/>
        <w:lang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-451485</wp:posOffset>
          </wp:positionV>
          <wp:extent cx="898525" cy="8763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8525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26B73" w:rsidRPr="00A628AC" w:rsidRDefault="00626B73" w:rsidP="00A628AC">
    <w:pPr>
      <w:pStyle w:val="Header"/>
      <w:wordWrap w:val="0"/>
      <w:jc w:val="right"/>
      <w:rPr>
        <w:lang w:eastAsia="ja-JP"/>
      </w:rPr>
    </w:pPr>
    <w:r>
      <w:rPr>
        <w:lang w:eastAsia="ja-JP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8F" w:rsidRDefault="00DC28E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3088671" o:spid="_x0000_s2049" type="#_x0000_t136" style="position:absolute;margin-left:0;margin-top:0;width:381.75pt;height:254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3418EE28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cstheme="minorHAnsi" w:hint="default"/>
        <w:sz w:val="18"/>
        <w:szCs w:val="18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567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QwtbA0BVJGZhZmJko6SsGpxcWZ+XkgBUa1AJA8QDIsAAAA"/>
  </w:docVars>
  <w:rsids>
    <w:rsidRoot w:val="0054630B"/>
    <w:rsid w:val="00011ECA"/>
    <w:rsid w:val="000367EA"/>
    <w:rsid w:val="00041A24"/>
    <w:rsid w:val="000465C7"/>
    <w:rsid w:val="00046687"/>
    <w:rsid w:val="00052CD4"/>
    <w:rsid w:val="0005611D"/>
    <w:rsid w:val="000635C6"/>
    <w:rsid w:val="00063C4E"/>
    <w:rsid w:val="00064A5B"/>
    <w:rsid w:val="000667D0"/>
    <w:rsid w:val="00071507"/>
    <w:rsid w:val="00074D6D"/>
    <w:rsid w:val="00095BB5"/>
    <w:rsid w:val="00095E25"/>
    <w:rsid w:val="000A3B0D"/>
    <w:rsid w:val="000B47B2"/>
    <w:rsid w:val="000B5084"/>
    <w:rsid w:val="000B6F98"/>
    <w:rsid w:val="000B7DCF"/>
    <w:rsid w:val="000C4AD6"/>
    <w:rsid w:val="000C7579"/>
    <w:rsid w:val="000D0024"/>
    <w:rsid w:val="000D5930"/>
    <w:rsid w:val="000E4850"/>
    <w:rsid w:val="000F55A0"/>
    <w:rsid w:val="000F6B1B"/>
    <w:rsid w:val="001032BA"/>
    <w:rsid w:val="0013024F"/>
    <w:rsid w:val="0015354A"/>
    <w:rsid w:val="00157853"/>
    <w:rsid w:val="00162137"/>
    <w:rsid w:val="00163917"/>
    <w:rsid w:val="00164689"/>
    <w:rsid w:val="00167454"/>
    <w:rsid w:val="00167E50"/>
    <w:rsid w:val="001739A2"/>
    <w:rsid w:val="00173C8B"/>
    <w:rsid w:val="00174EA1"/>
    <w:rsid w:val="00181617"/>
    <w:rsid w:val="001925C0"/>
    <w:rsid w:val="00196065"/>
    <w:rsid w:val="001A178E"/>
    <w:rsid w:val="001B0D68"/>
    <w:rsid w:val="001B59D9"/>
    <w:rsid w:val="001B63B3"/>
    <w:rsid w:val="001C5825"/>
    <w:rsid w:val="001E07C1"/>
    <w:rsid w:val="001F4415"/>
    <w:rsid w:val="001F6500"/>
    <w:rsid w:val="001F728E"/>
    <w:rsid w:val="00212899"/>
    <w:rsid w:val="002278CA"/>
    <w:rsid w:val="00235AFD"/>
    <w:rsid w:val="00236AB7"/>
    <w:rsid w:val="0025468A"/>
    <w:rsid w:val="00265694"/>
    <w:rsid w:val="00271BE9"/>
    <w:rsid w:val="00273F12"/>
    <w:rsid w:val="00273F16"/>
    <w:rsid w:val="0028724F"/>
    <w:rsid w:val="002905BC"/>
    <w:rsid w:val="002920DB"/>
    <w:rsid w:val="00293779"/>
    <w:rsid w:val="002A6CC2"/>
    <w:rsid w:val="002B31B8"/>
    <w:rsid w:val="002D279A"/>
    <w:rsid w:val="002D72D4"/>
    <w:rsid w:val="002D77A6"/>
    <w:rsid w:val="002E4AEF"/>
    <w:rsid w:val="002E4C1F"/>
    <w:rsid w:val="002E6ABC"/>
    <w:rsid w:val="002E7019"/>
    <w:rsid w:val="003019CD"/>
    <w:rsid w:val="00304795"/>
    <w:rsid w:val="003102A7"/>
    <w:rsid w:val="00313F26"/>
    <w:rsid w:val="003170C5"/>
    <w:rsid w:val="0034551A"/>
    <w:rsid w:val="00354EE2"/>
    <w:rsid w:val="00355ACA"/>
    <w:rsid w:val="003642BD"/>
    <w:rsid w:val="003646AD"/>
    <w:rsid w:val="003675A2"/>
    <w:rsid w:val="003722DC"/>
    <w:rsid w:val="0037317B"/>
    <w:rsid w:val="0038145B"/>
    <w:rsid w:val="003840AE"/>
    <w:rsid w:val="003862F3"/>
    <w:rsid w:val="003913A9"/>
    <w:rsid w:val="003A0EBF"/>
    <w:rsid w:val="003A6291"/>
    <w:rsid w:val="003B13A4"/>
    <w:rsid w:val="003B6615"/>
    <w:rsid w:val="003C6D95"/>
    <w:rsid w:val="003D1CFD"/>
    <w:rsid w:val="003D7DA6"/>
    <w:rsid w:val="003E2EFC"/>
    <w:rsid w:val="003E6D14"/>
    <w:rsid w:val="003F0715"/>
    <w:rsid w:val="003F6360"/>
    <w:rsid w:val="00400955"/>
    <w:rsid w:val="00406DBE"/>
    <w:rsid w:val="00415491"/>
    <w:rsid w:val="00432851"/>
    <w:rsid w:val="00445FD9"/>
    <w:rsid w:val="00450163"/>
    <w:rsid w:val="004524B4"/>
    <w:rsid w:val="00453711"/>
    <w:rsid w:val="00454DA4"/>
    <w:rsid w:val="00454EA3"/>
    <w:rsid w:val="00456C4D"/>
    <w:rsid w:val="00465712"/>
    <w:rsid w:val="0046612B"/>
    <w:rsid w:val="00470F5A"/>
    <w:rsid w:val="004848DE"/>
    <w:rsid w:val="00490603"/>
    <w:rsid w:val="0049098C"/>
    <w:rsid w:val="0049407C"/>
    <w:rsid w:val="0049528B"/>
    <w:rsid w:val="004A009D"/>
    <w:rsid w:val="004A4EAD"/>
    <w:rsid w:val="004A7D82"/>
    <w:rsid w:val="004B1C92"/>
    <w:rsid w:val="004B432C"/>
    <w:rsid w:val="004D6FB1"/>
    <w:rsid w:val="004E0841"/>
    <w:rsid w:val="004E3C23"/>
    <w:rsid w:val="004F10E6"/>
    <w:rsid w:val="004F2566"/>
    <w:rsid w:val="004F5AA7"/>
    <w:rsid w:val="004F7896"/>
    <w:rsid w:val="005012B2"/>
    <w:rsid w:val="0050292B"/>
    <w:rsid w:val="00504273"/>
    <w:rsid w:val="005057CB"/>
    <w:rsid w:val="00510CCD"/>
    <w:rsid w:val="00511C4C"/>
    <w:rsid w:val="00511FAA"/>
    <w:rsid w:val="00513338"/>
    <w:rsid w:val="00513D97"/>
    <w:rsid w:val="00516888"/>
    <w:rsid w:val="00517576"/>
    <w:rsid w:val="00522088"/>
    <w:rsid w:val="00522824"/>
    <w:rsid w:val="0053324C"/>
    <w:rsid w:val="00540D65"/>
    <w:rsid w:val="0054630B"/>
    <w:rsid w:val="00552792"/>
    <w:rsid w:val="00555677"/>
    <w:rsid w:val="0056416E"/>
    <w:rsid w:val="005800E9"/>
    <w:rsid w:val="00594429"/>
    <w:rsid w:val="005951AD"/>
    <w:rsid w:val="005B7B19"/>
    <w:rsid w:val="005C778D"/>
    <w:rsid w:val="005D4945"/>
    <w:rsid w:val="005D71DE"/>
    <w:rsid w:val="005F69AF"/>
    <w:rsid w:val="005F75C9"/>
    <w:rsid w:val="005F7E65"/>
    <w:rsid w:val="006140CA"/>
    <w:rsid w:val="00614E39"/>
    <w:rsid w:val="006154CB"/>
    <w:rsid w:val="00617251"/>
    <w:rsid w:val="00621F21"/>
    <w:rsid w:val="0062206C"/>
    <w:rsid w:val="00625CC9"/>
    <w:rsid w:val="00626B73"/>
    <w:rsid w:val="00633B70"/>
    <w:rsid w:val="00636340"/>
    <w:rsid w:val="00642069"/>
    <w:rsid w:val="006455D1"/>
    <w:rsid w:val="006464CA"/>
    <w:rsid w:val="00672721"/>
    <w:rsid w:val="00677E3F"/>
    <w:rsid w:val="0068304A"/>
    <w:rsid w:val="00684CE2"/>
    <w:rsid w:val="00686914"/>
    <w:rsid w:val="00693539"/>
    <w:rsid w:val="006B3B2A"/>
    <w:rsid w:val="006B4DB7"/>
    <w:rsid w:val="006C0D29"/>
    <w:rsid w:val="006C4A5F"/>
    <w:rsid w:val="006D4ADF"/>
    <w:rsid w:val="006D551A"/>
    <w:rsid w:val="006E7B9A"/>
    <w:rsid w:val="006F09ED"/>
    <w:rsid w:val="006F24C4"/>
    <w:rsid w:val="006F5137"/>
    <w:rsid w:val="006F5F2B"/>
    <w:rsid w:val="0070494C"/>
    <w:rsid w:val="0072010E"/>
    <w:rsid w:val="00723DA3"/>
    <w:rsid w:val="0074534A"/>
    <w:rsid w:val="00751440"/>
    <w:rsid w:val="0075156F"/>
    <w:rsid w:val="00764BDB"/>
    <w:rsid w:val="00766BE5"/>
    <w:rsid w:val="00767388"/>
    <w:rsid w:val="00774496"/>
    <w:rsid w:val="0077538C"/>
    <w:rsid w:val="00796866"/>
    <w:rsid w:val="0079765D"/>
    <w:rsid w:val="007B25F5"/>
    <w:rsid w:val="007B3D32"/>
    <w:rsid w:val="007C50BA"/>
    <w:rsid w:val="007D223E"/>
    <w:rsid w:val="007D3AC0"/>
    <w:rsid w:val="007D5B4E"/>
    <w:rsid w:val="007D5CA3"/>
    <w:rsid w:val="007D6E6B"/>
    <w:rsid w:val="007F1B58"/>
    <w:rsid w:val="007F32F6"/>
    <w:rsid w:val="007F339A"/>
    <w:rsid w:val="008052E8"/>
    <w:rsid w:val="0081765B"/>
    <w:rsid w:val="00823518"/>
    <w:rsid w:val="008246D9"/>
    <w:rsid w:val="008270E5"/>
    <w:rsid w:val="00833C7B"/>
    <w:rsid w:val="00836695"/>
    <w:rsid w:val="00836C10"/>
    <w:rsid w:val="00837656"/>
    <w:rsid w:val="008378A9"/>
    <w:rsid w:val="00842463"/>
    <w:rsid w:val="00843FD8"/>
    <w:rsid w:val="00850717"/>
    <w:rsid w:val="00854555"/>
    <w:rsid w:val="00856FEC"/>
    <w:rsid w:val="008651DB"/>
    <w:rsid w:val="00865340"/>
    <w:rsid w:val="00890B9B"/>
    <w:rsid w:val="00894D4E"/>
    <w:rsid w:val="0089545B"/>
    <w:rsid w:val="0089795A"/>
    <w:rsid w:val="008A1166"/>
    <w:rsid w:val="008A4D38"/>
    <w:rsid w:val="008B16DA"/>
    <w:rsid w:val="008B1CC3"/>
    <w:rsid w:val="008B7EB3"/>
    <w:rsid w:val="008D1868"/>
    <w:rsid w:val="008E4205"/>
    <w:rsid w:val="008E53B3"/>
    <w:rsid w:val="008F2195"/>
    <w:rsid w:val="008F7A22"/>
    <w:rsid w:val="00916212"/>
    <w:rsid w:val="00917E23"/>
    <w:rsid w:val="00922947"/>
    <w:rsid w:val="00924BCA"/>
    <w:rsid w:val="00941B30"/>
    <w:rsid w:val="00947A9D"/>
    <w:rsid w:val="0096088B"/>
    <w:rsid w:val="00963C2C"/>
    <w:rsid w:val="0096783D"/>
    <w:rsid w:val="009753F0"/>
    <w:rsid w:val="00986734"/>
    <w:rsid w:val="00987BC1"/>
    <w:rsid w:val="00987ED5"/>
    <w:rsid w:val="00993EC8"/>
    <w:rsid w:val="009A1D88"/>
    <w:rsid w:val="009A24D5"/>
    <w:rsid w:val="009A4A87"/>
    <w:rsid w:val="009A64A8"/>
    <w:rsid w:val="009B155D"/>
    <w:rsid w:val="009B46DB"/>
    <w:rsid w:val="009B5649"/>
    <w:rsid w:val="009F2DF7"/>
    <w:rsid w:val="009F7D21"/>
    <w:rsid w:val="00A0418C"/>
    <w:rsid w:val="00A110CE"/>
    <w:rsid w:val="00A16824"/>
    <w:rsid w:val="00A17F5D"/>
    <w:rsid w:val="00A217D9"/>
    <w:rsid w:val="00A300D1"/>
    <w:rsid w:val="00A37097"/>
    <w:rsid w:val="00A45D55"/>
    <w:rsid w:val="00A461F0"/>
    <w:rsid w:val="00A600FA"/>
    <w:rsid w:val="00A628AC"/>
    <w:rsid w:val="00A63246"/>
    <w:rsid w:val="00A645E0"/>
    <w:rsid w:val="00A64FA9"/>
    <w:rsid w:val="00A667C5"/>
    <w:rsid w:val="00A70E79"/>
    <w:rsid w:val="00A80FEB"/>
    <w:rsid w:val="00A93F79"/>
    <w:rsid w:val="00AA0EE9"/>
    <w:rsid w:val="00AD4AA5"/>
    <w:rsid w:val="00AD6D6F"/>
    <w:rsid w:val="00AE598A"/>
    <w:rsid w:val="00AE72CB"/>
    <w:rsid w:val="00AF4570"/>
    <w:rsid w:val="00B01700"/>
    <w:rsid w:val="00B02A64"/>
    <w:rsid w:val="00B06633"/>
    <w:rsid w:val="00B1157A"/>
    <w:rsid w:val="00B15500"/>
    <w:rsid w:val="00B17B54"/>
    <w:rsid w:val="00B2334A"/>
    <w:rsid w:val="00B36C7F"/>
    <w:rsid w:val="00B52E9D"/>
    <w:rsid w:val="00B5750A"/>
    <w:rsid w:val="00B6072A"/>
    <w:rsid w:val="00B71F21"/>
    <w:rsid w:val="00B73CE0"/>
    <w:rsid w:val="00B8399D"/>
    <w:rsid w:val="00B84FBB"/>
    <w:rsid w:val="00B9197F"/>
    <w:rsid w:val="00B921BE"/>
    <w:rsid w:val="00B9720A"/>
    <w:rsid w:val="00BA5836"/>
    <w:rsid w:val="00BB5B04"/>
    <w:rsid w:val="00BC499C"/>
    <w:rsid w:val="00BE49FF"/>
    <w:rsid w:val="00BE7395"/>
    <w:rsid w:val="00BF09FD"/>
    <w:rsid w:val="00BF44E2"/>
    <w:rsid w:val="00C03E1D"/>
    <w:rsid w:val="00C054E8"/>
    <w:rsid w:val="00C5340C"/>
    <w:rsid w:val="00C66C4C"/>
    <w:rsid w:val="00C7301B"/>
    <w:rsid w:val="00C81F0D"/>
    <w:rsid w:val="00C8352C"/>
    <w:rsid w:val="00C9280C"/>
    <w:rsid w:val="00C9460B"/>
    <w:rsid w:val="00C958EF"/>
    <w:rsid w:val="00CB0C27"/>
    <w:rsid w:val="00CB6B9A"/>
    <w:rsid w:val="00CC4377"/>
    <w:rsid w:val="00CC7BD2"/>
    <w:rsid w:val="00CD1B85"/>
    <w:rsid w:val="00CD5EEA"/>
    <w:rsid w:val="00CE4A68"/>
    <w:rsid w:val="00CE73FF"/>
    <w:rsid w:val="00CF147E"/>
    <w:rsid w:val="00CF3233"/>
    <w:rsid w:val="00D079A0"/>
    <w:rsid w:val="00D13DC3"/>
    <w:rsid w:val="00D1591A"/>
    <w:rsid w:val="00D3080B"/>
    <w:rsid w:val="00D31FF7"/>
    <w:rsid w:val="00D41366"/>
    <w:rsid w:val="00D50717"/>
    <w:rsid w:val="00D509DF"/>
    <w:rsid w:val="00D5595B"/>
    <w:rsid w:val="00D56882"/>
    <w:rsid w:val="00D640D6"/>
    <w:rsid w:val="00D80C18"/>
    <w:rsid w:val="00D81523"/>
    <w:rsid w:val="00D82B6B"/>
    <w:rsid w:val="00D846FD"/>
    <w:rsid w:val="00D85F8F"/>
    <w:rsid w:val="00D901EC"/>
    <w:rsid w:val="00D96A36"/>
    <w:rsid w:val="00DA26D9"/>
    <w:rsid w:val="00DB0B3B"/>
    <w:rsid w:val="00DB2AB7"/>
    <w:rsid w:val="00DC28E4"/>
    <w:rsid w:val="00DE537F"/>
    <w:rsid w:val="00E02F11"/>
    <w:rsid w:val="00E13F41"/>
    <w:rsid w:val="00E21693"/>
    <w:rsid w:val="00E21E29"/>
    <w:rsid w:val="00E2447F"/>
    <w:rsid w:val="00E24632"/>
    <w:rsid w:val="00E51BB9"/>
    <w:rsid w:val="00E554CC"/>
    <w:rsid w:val="00E60E1A"/>
    <w:rsid w:val="00E6267E"/>
    <w:rsid w:val="00E64E91"/>
    <w:rsid w:val="00E86ABC"/>
    <w:rsid w:val="00E93F15"/>
    <w:rsid w:val="00EA5F66"/>
    <w:rsid w:val="00EA6A28"/>
    <w:rsid w:val="00EB03B1"/>
    <w:rsid w:val="00EB2E06"/>
    <w:rsid w:val="00EC0D87"/>
    <w:rsid w:val="00EC41B3"/>
    <w:rsid w:val="00EC7358"/>
    <w:rsid w:val="00ED20BD"/>
    <w:rsid w:val="00ED6D51"/>
    <w:rsid w:val="00EE0165"/>
    <w:rsid w:val="00EE1F2D"/>
    <w:rsid w:val="00EE500A"/>
    <w:rsid w:val="00EF51D8"/>
    <w:rsid w:val="00F00596"/>
    <w:rsid w:val="00F2256C"/>
    <w:rsid w:val="00F25837"/>
    <w:rsid w:val="00F41E19"/>
    <w:rsid w:val="00F6041D"/>
    <w:rsid w:val="00F6116B"/>
    <w:rsid w:val="00F62898"/>
    <w:rsid w:val="00F67831"/>
    <w:rsid w:val="00F70330"/>
    <w:rsid w:val="00F839A6"/>
    <w:rsid w:val="00F83EBC"/>
    <w:rsid w:val="00F84FD4"/>
    <w:rsid w:val="00F92194"/>
    <w:rsid w:val="00F9418F"/>
    <w:rsid w:val="00F967D8"/>
    <w:rsid w:val="00F978C0"/>
    <w:rsid w:val="00FA6188"/>
    <w:rsid w:val="00FB5191"/>
    <w:rsid w:val="00FC160B"/>
    <w:rsid w:val="00FE1C4C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F6D3CF6C-672E-4EB9-A6D1-68025813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uiPriority w:val="99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uiPriority w:val="99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uiPriority w:val="99"/>
    <w:rsid w:val="0054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43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43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43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3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3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694"/>
  </w:style>
  <w:style w:type="paragraph" w:styleId="Footer">
    <w:name w:val="footer"/>
    <w:basedOn w:val="Normal"/>
    <w:link w:val="FooterChar"/>
    <w:uiPriority w:val="99"/>
    <w:unhideWhenUsed/>
    <w:rsid w:val="002656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694"/>
  </w:style>
  <w:style w:type="paragraph" w:styleId="NoSpacing">
    <w:name w:val="No Spacing"/>
    <w:uiPriority w:val="1"/>
    <w:qFormat/>
    <w:rsid w:val="00EB2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4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31393-7D52-4A7A-8927-9BB06CF4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1127</Words>
  <Characters>6426</Characters>
  <Application>Microsoft Office Word</Application>
  <DocSecurity>0</DocSecurity>
  <Lines>53</Lines>
  <Paragraphs>15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Trinity House</Company>
  <LinksUpToDate>false</LinksUpToDate>
  <CharactersWithSpaces>7538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4</cp:revision>
  <cp:lastPrinted>2018-09-20T08:35:00Z</cp:lastPrinted>
  <dcterms:created xsi:type="dcterms:W3CDTF">2018-10-03T14:02:00Z</dcterms:created>
  <dcterms:modified xsi:type="dcterms:W3CDTF">2018-10-04T09:10:00Z</dcterms:modified>
</cp:coreProperties>
</file>